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6" w:rsidRPr="007E3096" w:rsidRDefault="007E3096" w:rsidP="007E3096">
      <w:pPr>
        <w:jc w:val="center"/>
        <w:rPr>
          <w:b/>
          <w:bCs/>
          <w:snapToGrid w:val="0"/>
          <w:sz w:val="32"/>
          <w:szCs w:val="32"/>
        </w:rPr>
      </w:pPr>
      <w:r w:rsidRPr="000C20A9">
        <w:rPr>
          <w:b/>
          <w:bCs/>
          <w:snapToGrid w:val="0"/>
          <w:sz w:val="32"/>
          <w:szCs w:val="32"/>
        </w:rPr>
        <w:t>Stanovy</w:t>
      </w:r>
    </w:p>
    <w:p w:rsidR="00EB734F" w:rsidRPr="00B7035A" w:rsidRDefault="00EB734F" w:rsidP="00EB734F">
      <w:pPr>
        <w:pStyle w:val="Nadpis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ZÁKLADNÍ USTANOVENÍ</w:t>
      </w:r>
    </w:p>
    <w:p w:rsidR="00EB734F" w:rsidRDefault="00EB734F" w:rsidP="00EB734F">
      <w:pPr>
        <w:spacing w:before="120" w:line="240" w:lineRule="atLeast"/>
        <w:jc w:val="center"/>
      </w:pPr>
    </w:p>
    <w:p w:rsidR="00EB734F" w:rsidRPr="003C0278" w:rsidRDefault="00EB734F" w:rsidP="00EB734F">
      <w:pPr>
        <w:spacing w:before="120" w:line="240" w:lineRule="atLeast"/>
        <w:jc w:val="center"/>
        <w:rPr>
          <w:b/>
        </w:rPr>
      </w:pPr>
      <w:r w:rsidRPr="003C0278">
        <w:rPr>
          <w:b/>
        </w:rPr>
        <w:t>§ 1</w:t>
      </w:r>
    </w:p>
    <w:p w:rsidR="00EB734F" w:rsidRPr="003C0278" w:rsidRDefault="00EB734F" w:rsidP="00EB734F">
      <w:pPr>
        <w:pStyle w:val="Nadpis4"/>
        <w:rPr>
          <w:b/>
          <w:sz w:val="24"/>
        </w:rPr>
      </w:pPr>
      <w:r w:rsidRPr="003C0278">
        <w:rPr>
          <w:b/>
          <w:sz w:val="24"/>
        </w:rPr>
        <w:t>Založení a vznik akciové společnosti</w:t>
      </w:r>
    </w:p>
    <w:p w:rsidR="00EB734F" w:rsidRDefault="00EB734F" w:rsidP="00EB734F">
      <w:pPr>
        <w:pStyle w:val="Zkladntext"/>
        <w:tabs>
          <w:tab w:val="right" w:leader="hyphen" w:pos="9072"/>
        </w:tabs>
        <w:rPr>
          <w:highlight w:val="yellow"/>
        </w:rPr>
      </w:pPr>
    </w:p>
    <w:p w:rsidR="00EB734F" w:rsidRPr="001C41E1" w:rsidRDefault="003B20D1" w:rsidP="00EB734F">
      <w:pPr>
        <w:pStyle w:val="Zkladntext"/>
        <w:tabs>
          <w:tab w:val="right" w:leader="hyphen" w:pos="9072"/>
        </w:tabs>
        <w:contextualSpacing/>
      </w:pPr>
      <w:r>
        <w:t xml:space="preserve">Společnost </w:t>
      </w:r>
      <w:r w:rsidRPr="003B20D1">
        <w:rPr>
          <w:b/>
        </w:rPr>
        <w:t>REDWAVE OK</w:t>
      </w:r>
      <w:r w:rsidR="00EB734F" w:rsidRPr="003B20D1">
        <w:rPr>
          <w:b/>
        </w:rPr>
        <w:t xml:space="preserve"> </w:t>
      </w:r>
      <w:r w:rsidR="00EB734F">
        <w:rPr>
          <w:b/>
        </w:rPr>
        <w:t>a.s.</w:t>
      </w:r>
      <w:r w:rsidR="00EB734F" w:rsidRPr="0096070A">
        <w:t xml:space="preserve"> s</w:t>
      </w:r>
      <w:r w:rsidR="00EB734F">
        <w:t> pův</w:t>
      </w:r>
      <w:r>
        <w:t xml:space="preserve">odní obchodní firmou </w:t>
      </w:r>
      <w:r w:rsidR="008E6180">
        <w:t xml:space="preserve">LICK SKILLET </w:t>
      </w:r>
      <w:r w:rsidR="00EB734F">
        <w:t>a.s.</w:t>
      </w:r>
      <w:r w:rsidR="001C41E1">
        <w:t>,</w:t>
      </w:r>
      <w:r w:rsidR="00EB734F" w:rsidRPr="0096070A">
        <w:t xml:space="preserve"> </w:t>
      </w:r>
      <w:r w:rsidR="00EB734F">
        <w:t xml:space="preserve">byla založena zakladatelskou </w:t>
      </w:r>
      <w:r w:rsidR="007E3096">
        <w:t>listinou</w:t>
      </w:r>
      <w:r w:rsidR="00D77F20">
        <w:t xml:space="preserve"> </w:t>
      </w:r>
      <w:r w:rsidR="00EB734F">
        <w:t xml:space="preserve">o založení akciové společnosti </w:t>
      </w:r>
      <w:r w:rsidR="00AE7D77">
        <w:t>bez výzvy k upisování akcií</w:t>
      </w:r>
      <w:r w:rsidR="00EB734F">
        <w:t xml:space="preserve"> ze dne </w:t>
      </w:r>
      <w:r w:rsidR="00D77F20">
        <w:t>9. ledna 2007</w:t>
      </w:r>
      <w:r w:rsidR="00AE7D77">
        <w:t>,</w:t>
      </w:r>
      <w:r w:rsidR="001C41E1">
        <w:t xml:space="preserve"> sepsanou notářským zápisem Mgr. Erikem Mrzenou, notář</w:t>
      </w:r>
      <w:r w:rsidR="00D77F20">
        <w:t>em</w:t>
      </w:r>
      <w:r w:rsidR="001C41E1">
        <w:t xml:space="preserve"> se sídlem v Praze</w:t>
      </w:r>
      <w:r w:rsidR="00EB734F">
        <w:t>, dne</w:t>
      </w:r>
      <w:r w:rsidR="001C41E1">
        <w:t xml:space="preserve"> 9. ledna 2007, pod </w:t>
      </w:r>
      <w:proofErr w:type="spellStart"/>
      <w:r w:rsidR="001C41E1">
        <w:t>sp</w:t>
      </w:r>
      <w:proofErr w:type="spellEnd"/>
      <w:r w:rsidR="001C41E1">
        <w:t>. zn. NZ 7/2007, N 8/2007.</w:t>
      </w:r>
      <w:r w:rsidR="00EB734F">
        <w:t xml:space="preserve"> Společnost vznikla dnem zápisu do obchodního rejstříku, tj.</w:t>
      </w:r>
      <w:r w:rsidR="001C41E1">
        <w:t xml:space="preserve"> 29. ledna 2007.</w:t>
      </w:r>
      <w:r w:rsidR="00EB734F">
        <w:tab/>
      </w:r>
    </w:p>
    <w:p w:rsidR="00EB734F" w:rsidRDefault="00EB734F" w:rsidP="00EB734F">
      <w:pPr>
        <w:pStyle w:val="Zkladntext"/>
        <w:tabs>
          <w:tab w:val="right" w:leader="hyphen" w:pos="9072"/>
        </w:tabs>
        <w:rPr>
          <w:highlight w:val="yellow"/>
        </w:rPr>
      </w:pPr>
    </w:p>
    <w:p w:rsidR="00EB734F" w:rsidRPr="003F206A" w:rsidRDefault="00EB734F" w:rsidP="00EB734F">
      <w:pPr>
        <w:spacing w:before="120" w:line="240" w:lineRule="atLeast"/>
        <w:jc w:val="center"/>
        <w:rPr>
          <w:b/>
        </w:rPr>
      </w:pPr>
      <w:r w:rsidRPr="003F206A">
        <w:rPr>
          <w:b/>
        </w:rPr>
        <w:t>§ 2</w:t>
      </w:r>
    </w:p>
    <w:p w:rsidR="00EB734F" w:rsidRPr="007F28E4" w:rsidRDefault="00EB734F" w:rsidP="00EB734F">
      <w:pPr>
        <w:pStyle w:val="Nadpis4"/>
        <w:rPr>
          <w:b/>
          <w:sz w:val="24"/>
        </w:rPr>
      </w:pPr>
      <w:r w:rsidRPr="007F28E4">
        <w:rPr>
          <w:b/>
          <w:sz w:val="24"/>
        </w:rPr>
        <w:t>Obchodní firma a sídlo společnosti</w:t>
      </w:r>
      <w:r>
        <w:rPr>
          <w:b/>
          <w:sz w:val="24"/>
        </w:rPr>
        <w:t>, internetová stránka</w:t>
      </w:r>
    </w:p>
    <w:p w:rsidR="00EB734F" w:rsidRPr="00710D7A" w:rsidRDefault="00EB734F" w:rsidP="00EB734F">
      <w:pPr>
        <w:tabs>
          <w:tab w:val="right" w:leader="hyphen" w:pos="9072"/>
        </w:tabs>
        <w:spacing w:before="120" w:line="240" w:lineRule="atLeast"/>
      </w:pPr>
      <w:r w:rsidRPr="00710D7A">
        <w:t xml:space="preserve">1. Obchodní firma: </w:t>
      </w:r>
      <w:r w:rsidR="00DF4F00">
        <w:rPr>
          <w:b/>
        </w:rPr>
        <w:t xml:space="preserve">REDWAVE OK </w:t>
      </w:r>
      <w:r>
        <w:rPr>
          <w:b/>
        </w:rPr>
        <w:t>a.s.</w:t>
      </w:r>
      <w:r w:rsidR="00DF4F00">
        <w:rPr>
          <w:b/>
        </w:rPr>
        <w:t xml:space="preserve"> </w:t>
      </w:r>
      <w:r w:rsidRPr="00710D7A">
        <w:rPr>
          <w:b/>
        </w:rPr>
        <w:tab/>
      </w:r>
    </w:p>
    <w:p w:rsidR="00EB734F" w:rsidRPr="003C0278" w:rsidRDefault="00EB734F" w:rsidP="00EB734F">
      <w:pPr>
        <w:pStyle w:val="Zpat"/>
        <w:tabs>
          <w:tab w:val="right" w:leader="hyphen" w:pos="9072"/>
        </w:tabs>
        <w:rPr>
          <w:rFonts w:ascii="Times New Roman" w:hAnsi="Times New Roman"/>
          <w:b/>
          <w:szCs w:val="24"/>
        </w:rPr>
      </w:pPr>
      <w:r w:rsidRPr="00710D7A">
        <w:rPr>
          <w:rFonts w:ascii="Times New Roman" w:hAnsi="Times New Roman"/>
          <w:szCs w:val="24"/>
        </w:rPr>
        <w:t xml:space="preserve">2. Sídlo společnosti: </w:t>
      </w:r>
      <w:r w:rsidR="00DF4F00">
        <w:rPr>
          <w:rFonts w:ascii="Times New Roman" w:hAnsi="Times New Roman"/>
          <w:b/>
          <w:szCs w:val="24"/>
        </w:rPr>
        <w:t xml:space="preserve">hlavní město Praha </w:t>
      </w:r>
      <w:r w:rsidRPr="00710D7A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-------------------------------------------------------------</w:t>
      </w:r>
      <w:r w:rsidRPr="003C0278">
        <w:rPr>
          <w:rFonts w:ascii="Times New Roman" w:hAnsi="Times New Roman"/>
          <w:szCs w:val="24"/>
        </w:rPr>
        <w:t>3.</w:t>
      </w:r>
      <w:r w:rsidRPr="003C0278">
        <w:rPr>
          <w:rFonts w:ascii="Times New Roman" w:hAnsi="Times New Roman"/>
          <w:b/>
          <w:szCs w:val="24"/>
        </w:rPr>
        <w:t xml:space="preserve"> </w:t>
      </w:r>
      <w:r w:rsidRPr="003C0278">
        <w:rPr>
          <w:rFonts w:ascii="Times New Roman" w:hAnsi="Times New Roman"/>
          <w:szCs w:val="22"/>
        </w:rPr>
        <w:t xml:space="preserve">Na adrese </w:t>
      </w:r>
      <w:r w:rsidR="00D77F20">
        <w:rPr>
          <w:rFonts w:ascii="Times New Roman" w:hAnsi="Times New Roman"/>
          <w:szCs w:val="22"/>
        </w:rPr>
        <w:t>www.</w:t>
      </w:r>
      <w:r w:rsidR="008D03F5">
        <w:rPr>
          <w:rFonts w:ascii="Times New Roman" w:hAnsi="Times New Roman"/>
          <w:snapToGrid w:val="0"/>
        </w:rPr>
        <w:t xml:space="preserve">redwave.cz </w:t>
      </w:r>
      <w:r w:rsidRPr="003C0278">
        <w:rPr>
          <w:rFonts w:ascii="Times New Roman" w:hAnsi="Times New Roman"/>
          <w:szCs w:val="22"/>
        </w:rPr>
        <w:t xml:space="preserve">jsou umístěny internetové stránky společnosti, kde jsou </w:t>
      </w:r>
      <w:r w:rsidRPr="00B92891">
        <w:rPr>
          <w:rFonts w:ascii="Times New Roman" w:hAnsi="Times New Roman"/>
          <w:szCs w:val="22"/>
        </w:rPr>
        <w:t>uveřejňovány pozvánky na valnou hromadu a uváděny veškeré údaje a informace pro akcionáře.</w:t>
      </w:r>
      <w:r>
        <w:rPr>
          <w:rFonts w:ascii="Times New Roman" w:hAnsi="Times New Roman"/>
          <w:szCs w:val="22"/>
        </w:rPr>
        <w:t xml:space="preserve"> ----------------------------------------------------------------------------------------------------</w:t>
      </w:r>
      <w:r>
        <w:rPr>
          <w:rFonts w:ascii="Times New Roman" w:hAnsi="Times New Roman"/>
          <w:szCs w:val="22"/>
        </w:rPr>
        <w:tab/>
      </w:r>
    </w:p>
    <w:p w:rsidR="00EB734F" w:rsidRPr="00710D7A" w:rsidRDefault="00EB734F" w:rsidP="00EB734F">
      <w:pPr>
        <w:tabs>
          <w:tab w:val="right" w:leader="hyphen" w:pos="9072"/>
        </w:tabs>
        <w:spacing w:before="120" w:line="240" w:lineRule="atLeast"/>
      </w:pPr>
    </w:p>
    <w:p w:rsidR="00EB734F" w:rsidRPr="003F206A" w:rsidRDefault="00EB734F" w:rsidP="001D56C7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  <w:r w:rsidRPr="003F206A">
        <w:rPr>
          <w:b/>
        </w:rPr>
        <w:t>§ 3</w:t>
      </w:r>
    </w:p>
    <w:p w:rsidR="00EB734F" w:rsidRPr="007F28E4" w:rsidRDefault="00EB734F" w:rsidP="00EB734F">
      <w:pPr>
        <w:pStyle w:val="Nadpis4"/>
        <w:tabs>
          <w:tab w:val="right" w:leader="hyphen" w:pos="9072"/>
        </w:tabs>
        <w:rPr>
          <w:b/>
          <w:sz w:val="24"/>
        </w:rPr>
      </w:pPr>
      <w:r w:rsidRPr="007F28E4">
        <w:rPr>
          <w:b/>
          <w:sz w:val="24"/>
        </w:rPr>
        <w:t>Předmět podnikání (činnosti) společnosti</w:t>
      </w:r>
    </w:p>
    <w:p w:rsidR="00EB734F" w:rsidRDefault="00EB734F" w:rsidP="00EB734F">
      <w:pPr>
        <w:pStyle w:val="Zpat"/>
        <w:tabs>
          <w:tab w:val="right" w:leader="hyphen" w:pos="9072"/>
        </w:tabs>
        <w:rPr>
          <w:rFonts w:ascii="Times New Roman" w:eastAsia="Calibri" w:hAnsi="Times New Roman"/>
          <w:szCs w:val="24"/>
          <w:lang w:eastAsia="en-US"/>
        </w:rPr>
      </w:pPr>
    </w:p>
    <w:p w:rsidR="001D56C7" w:rsidRPr="00710D7A" w:rsidRDefault="00EB734F" w:rsidP="00EB734F">
      <w:pPr>
        <w:pStyle w:val="Zpat"/>
        <w:tabs>
          <w:tab w:val="right" w:leader="hyphen" w:pos="9072"/>
        </w:tabs>
        <w:rPr>
          <w:rFonts w:ascii="Times New Roman" w:hAnsi="Times New Roman"/>
          <w:szCs w:val="24"/>
        </w:rPr>
      </w:pPr>
      <w:r w:rsidRPr="00710D7A">
        <w:rPr>
          <w:rFonts w:ascii="Times New Roman" w:hAnsi="Times New Roman"/>
          <w:szCs w:val="24"/>
        </w:rPr>
        <w:t>Předmětem podnikání (činnosti) společnosti je: --------------------------------------------------------</w:t>
      </w:r>
    </w:p>
    <w:p w:rsidR="001D56C7" w:rsidRDefault="001D56C7" w:rsidP="00EB734F">
      <w:pPr>
        <w:numPr>
          <w:ilvl w:val="0"/>
          <w:numId w:val="5"/>
        </w:numPr>
        <w:tabs>
          <w:tab w:val="right" w:leader="hyphen" w:pos="9072"/>
        </w:tabs>
      </w:pPr>
      <w:r>
        <w:t>Pronájem nemovitostí, bytů a nebytových prostor bez poskytování jiných než ----------základních služeb spojených s pronájmem, ----------------------------------------------------</w:t>
      </w:r>
    </w:p>
    <w:p w:rsidR="001D56C7" w:rsidRDefault="00EB734F" w:rsidP="001D56C7">
      <w:pPr>
        <w:numPr>
          <w:ilvl w:val="0"/>
          <w:numId w:val="5"/>
        </w:numPr>
        <w:tabs>
          <w:tab w:val="right" w:leader="hyphen" w:pos="9072"/>
        </w:tabs>
      </w:pPr>
      <w:r w:rsidRPr="00710D7A">
        <w:t>Výroba, obchod a služby neuvedené v přílohách 1 až 3 živnostenského zákona</w:t>
      </w:r>
      <w:r>
        <w:t>,</w:t>
      </w:r>
      <w:r w:rsidRPr="00710D7A">
        <w:t xml:space="preserve"> </w:t>
      </w:r>
      <w:r w:rsidRPr="00710D7A">
        <w:tab/>
      </w:r>
    </w:p>
    <w:p w:rsidR="001D56C7" w:rsidRPr="001D56C7" w:rsidRDefault="001D56C7" w:rsidP="001D56C7">
      <w:pPr>
        <w:numPr>
          <w:ilvl w:val="0"/>
          <w:numId w:val="5"/>
        </w:numPr>
        <w:tabs>
          <w:tab w:val="right" w:leader="hyphen" w:pos="9072"/>
        </w:tabs>
      </w:pPr>
      <w:r w:rsidRPr="001D56C7">
        <w:rPr>
          <w:rFonts w:eastAsia="Calibri"/>
          <w:bCs/>
        </w:rPr>
        <w:t>Silniční motorová doprava</w:t>
      </w:r>
      <w:r w:rsidR="00201D96">
        <w:rPr>
          <w:rFonts w:eastAsia="Calibri"/>
          <w:bCs/>
        </w:rPr>
        <w:t>-</w:t>
      </w:r>
      <w:r w:rsidRPr="000471C8">
        <w:t>----------------------------------------------------------</w:t>
      </w:r>
      <w:r w:rsidR="0057378F">
        <w:t>-------------</w:t>
      </w:r>
    </w:p>
    <w:p w:rsidR="001D56C7" w:rsidRPr="006C6613" w:rsidRDefault="001D56C7" w:rsidP="008E075C">
      <w:pPr>
        <w:pStyle w:val="Heading4"/>
        <w:shd w:val="clear" w:color="auto" w:fill="FFFFFF"/>
        <w:ind w:left="993" w:hanging="284"/>
        <w:jc w:val="both"/>
        <w:rPr>
          <w:rFonts w:eastAsia="Times New Roman Bold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- nákladní provozovaná vozidly nebo jízdními soupravami o největší povolené hmotnosti přesahující 3,5 tuny, jsou-li určeny k přepravě zvířat nebo věcí,</w:t>
      </w:r>
      <w:r>
        <w:rPr>
          <w:rFonts w:eastAsia="Calibri" w:hAnsi="Times New Roman" w:cs="Times New Roman"/>
          <w:sz w:val="24"/>
          <w:szCs w:val="24"/>
        </w:rPr>
        <w:t>-----------</w:t>
      </w:r>
    </w:p>
    <w:p w:rsidR="001D56C7" w:rsidRPr="0015292A" w:rsidRDefault="001D56C7" w:rsidP="001D56C7">
      <w:pPr>
        <w:pStyle w:val="Heading4"/>
        <w:numPr>
          <w:ilvl w:val="0"/>
          <w:numId w:val="34"/>
        </w:numPr>
        <w:shd w:val="clear" w:color="auto" w:fill="FFFFFF"/>
        <w:tabs>
          <w:tab w:val="num" w:pos="949"/>
        </w:tabs>
        <w:spacing w:before="120"/>
        <w:ind w:left="993" w:hanging="284"/>
        <w:jc w:val="both"/>
        <w:rPr>
          <w:rFonts w:eastAsia="Calibri" w:hAnsi="Times New Roman" w:cs="Times New Roman"/>
          <w:position w:val="4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nákladní provozovaná vozidly nebo jízdními soupravami o největší povolené hmotnosti nepřesahující 3,5 tuny, jsou-li urč</w:t>
      </w:r>
      <w:r w:rsidR="008E075C">
        <w:rPr>
          <w:rFonts w:eastAsia="Calibri" w:hAnsi="Times New Roman" w:cs="Times New Roman"/>
          <w:sz w:val="24"/>
          <w:szCs w:val="24"/>
        </w:rPr>
        <w:t>eny k přepravě zvířat nebo věcí,</w:t>
      </w:r>
      <w:r>
        <w:rPr>
          <w:rFonts w:eastAsia="Calibri" w:hAnsi="Times New Roman" w:cs="Times New Roman"/>
          <w:sz w:val="24"/>
          <w:szCs w:val="24"/>
        </w:rPr>
        <w:t>--------</w:t>
      </w:r>
    </w:p>
    <w:p w:rsidR="001D56C7" w:rsidRDefault="008E075C" w:rsidP="001D56C7">
      <w:pPr>
        <w:numPr>
          <w:ilvl w:val="0"/>
          <w:numId w:val="5"/>
        </w:numPr>
        <w:tabs>
          <w:tab w:val="right" w:leader="hyphen" w:pos="9072"/>
        </w:tabs>
      </w:pPr>
      <w:r>
        <w:t>Výroba a zpracování paliv a maziv a distribuce pohonných hmot</w:t>
      </w:r>
      <w:r w:rsidR="00201D96">
        <w:t>,</w:t>
      </w:r>
      <w:r>
        <w:t>--------------------------</w:t>
      </w:r>
    </w:p>
    <w:p w:rsidR="00EB734F" w:rsidRDefault="008E075C" w:rsidP="00EB734F">
      <w:pPr>
        <w:numPr>
          <w:ilvl w:val="0"/>
          <w:numId w:val="5"/>
        </w:numPr>
        <w:tabs>
          <w:tab w:val="right" w:leader="hyphen" w:pos="9072"/>
        </w:tabs>
      </w:pPr>
      <w:r>
        <w:t>Provozování cestovní kanceláře</w:t>
      </w:r>
      <w:r w:rsidR="00EB734F">
        <w:t xml:space="preserve">, </w:t>
      </w:r>
      <w:r w:rsidR="00EB734F" w:rsidRPr="000471C8">
        <w:t>----------------------------------------------------------------</w:t>
      </w:r>
    </w:p>
    <w:p w:rsidR="00EB734F" w:rsidRDefault="008E075C" w:rsidP="00EB734F">
      <w:pPr>
        <w:numPr>
          <w:ilvl w:val="0"/>
          <w:numId w:val="5"/>
        </w:numPr>
        <w:tabs>
          <w:tab w:val="right" w:leader="hyphen" w:pos="9072"/>
        </w:tabs>
      </w:pPr>
      <w:r>
        <w:t>Hostinská činnost</w:t>
      </w:r>
      <w:r w:rsidR="00EB734F">
        <w:t xml:space="preserve">, </w:t>
      </w:r>
      <w:r w:rsidR="00EB734F" w:rsidRPr="000471C8">
        <w:t>----------------------------------------------------------</w:t>
      </w:r>
      <w:r w:rsidR="00EB734F">
        <w:t>----------------------</w:t>
      </w:r>
      <w:r>
        <w:t>-</w:t>
      </w:r>
    </w:p>
    <w:p w:rsidR="00201D96" w:rsidRDefault="008E075C" w:rsidP="00C70EB3">
      <w:pPr>
        <w:numPr>
          <w:ilvl w:val="0"/>
          <w:numId w:val="5"/>
        </w:numPr>
        <w:tabs>
          <w:tab w:val="right" w:leader="hyphen" w:pos="9072"/>
        </w:tabs>
      </w:pPr>
      <w:r>
        <w:t>Prodej kvasného lihu, konzumního lihu a lihovin</w:t>
      </w:r>
      <w:r w:rsidR="00EB734F">
        <w:t xml:space="preserve">. </w:t>
      </w:r>
      <w:r>
        <w:t>------------</w:t>
      </w:r>
      <w:r w:rsidR="00EB734F" w:rsidRPr="000471C8">
        <w:t>------------------------------</w:t>
      </w:r>
      <w:r w:rsidR="00EB734F">
        <w:t>--</w:t>
      </w:r>
      <w:r w:rsidR="00EB734F" w:rsidRPr="000471C8">
        <w:t xml:space="preserve">                             </w:t>
      </w:r>
    </w:p>
    <w:p w:rsidR="00570B17" w:rsidRPr="00C70EB3" w:rsidRDefault="00570B17" w:rsidP="00C70EB3">
      <w:pPr>
        <w:tabs>
          <w:tab w:val="right" w:leader="hyphen" w:pos="9072"/>
        </w:tabs>
        <w:ind w:left="720"/>
      </w:pPr>
    </w:p>
    <w:p w:rsidR="00EB734F" w:rsidRPr="003F206A" w:rsidRDefault="00EB734F" w:rsidP="00EB734F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  <w:r w:rsidRPr="003F206A">
        <w:rPr>
          <w:b/>
        </w:rPr>
        <w:t>§ 4</w:t>
      </w:r>
    </w:p>
    <w:p w:rsidR="00EB734F" w:rsidRPr="007F28E4" w:rsidRDefault="00EB734F" w:rsidP="00EB734F">
      <w:pPr>
        <w:pStyle w:val="Nadpis4"/>
        <w:tabs>
          <w:tab w:val="right" w:leader="hyphen" w:pos="9072"/>
        </w:tabs>
        <w:rPr>
          <w:b/>
          <w:sz w:val="24"/>
        </w:rPr>
      </w:pPr>
      <w:r w:rsidRPr="007F28E4">
        <w:rPr>
          <w:b/>
          <w:sz w:val="24"/>
        </w:rPr>
        <w:t>Trvání společnosti</w:t>
      </w:r>
    </w:p>
    <w:p w:rsidR="00EB734F" w:rsidRDefault="00EB734F" w:rsidP="00EB734F">
      <w:pPr>
        <w:tabs>
          <w:tab w:val="right" w:leader="hyphen" w:pos="9072"/>
        </w:tabs>
        <w:spacing w:before="120" w:line="240" w:lineRule="atLeast"/>
      </w:pPr>
      <w:r w:rsidRPr="00710D7A">
        <w:t xml:space="preserve">Společnost </w:t>
      </w:r>
      <w:r>
        <w:t>je</w:t>
      </w:r>
      <w:r w:rsidRPr="00710D7A">
        <w:t xml:space="preserve"> za</w:t>
      </w:r>
      <w:r>
        <w:t>ložena</w:t>
      </w:r>
      <w:r w:rsidRPr="00710D7A">
        <w:t xml:space="preserve"> na dobu neurčitou. -----------------------------------------------------</w:t>
      </w:r>
      <w:r>
        <w:t>---------</w:t>
      </w:r>
    </w:p>
    <w:p w:rsidR="00EB734F" w:rsidRDefault="00EB734F" w:rsidP="00EB734F">
      <w:pPr>
        <w:tabs>
          <w:tab w:val="right" w:leader="hyphen" w:pos="9072"/>
        </w:tabs>
        <w:spacing w:before="120" w:line="240" w:lineRule="atLeast"/>
      </w:pPr>
    </w:p>
    <w:p w:rsidR="00C70EB3" w:rsidRDefault="00C70EB3" w:rsidP="00EB734F">
      <w:pPr>
        <w:tabs>
          <w:tab w:val="right" w:leader="hyphen" w:pos="9072"/>
        </w:tabs>
        <w:spacing w:before="120" w:line="240" w:lineRule="atLeast"/>
      </w:pPr>
    </w:p>
    <w:p w:rsidR="00C70EB3" w:rsidRPr="001A3D3F" w:rsidRDefault="00C70EB3" w:rsidP="00EB734F">
      <w:pPr>
        <w:tabs>
          <w:tab w:val="right" w:leader="hyphen" w:pos="9072"/>
        </w:tabs>
        <w:spacing w:before="120" w:line="240" w:lineRule="atLeast"/>
      </w:pPr>
    </w:p>
    <w:p w:rsidR="00EB734F" w:rsidRPr="003F206A" w:rsidRDefault="00EB734F" w:rsidP="00EB734F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  <w:r w:rsidRPr="003F206A">
        <w:rPr>
          <w:b/>
        </w:rPr>
        <w:lastRenderedPageBreak/>
        <w:t>§ 5</w:t>
      </w:r>
    </w:p>
    <w:p w:rsidR="00EB734F" w:rsidRPr="007F28E4" w:rsidRDefault="00EB734F" w:rsidP="00EB734F">
      <w:pPr>
        <w:pStyle w:val="Nadpis4"/>
        <w:tabs>
          <w:tab w:val="right" w:leader="hyphen" w:pos="9072"/>
        </w:tabs>
        <w:spacing w:before="120" w:line="240" w:lineRule="atLeast"/>
        <w:rPr>
          <w:b/>
          <w:sz w:val="24"/>
        </w:rPr>
      </w:pPr>
      <w:r w:rsidRPr="007F28E4">
        <w:rPr>
          <w:b/>
          <w:sz w:val="24"/>
        </w:rPr>
        <w:t>Jednání za společnost</w:t>
      </w:r>
    </w:p>
    <w:p w:rsidR="00EB734F" w:rsidRPr="001C4288" w:rsidRDefault="00EB734F" w:rsidP="004E651C">
      <w:pPr>
        <w:numPr>
          <w:ilvl w:val="0"/>
          <w:numId w:val="6"/>
        </w:numPr>
        <w:tabs>
          <w:tab w:val="clear" w:pos="360"/>
          <w:tab w:val="num" w:pos="284"/>
          <w:tab w:val="right" w:leader="hyphen" w:pos="9072"/>
        </w:tabs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>S</w:t>
      </w:r>
      <w:r w:rsidRPr="001C4288">
        <w:rPr>
          <w:snapToGrid w:val="0"/>
        </w:rPr>
        <w:t>polečnost zastupuje jediný člen představenstva.</w:t>
      </w:r>
      <w:r w:rsidRPr="001C4288">
        <w:rPr>
          <w:snapToGrid w:val="0"/>
        </w:rPr>
        <w:tab/>
      </w:r>
    </w:p>
    <w:p w:rsidR="00EB734F" w:rsidRPr="00710D7A" w:rsidRDefault="00EB734F" w:rsidP="00F83C0E">
      <w:pPr>
        <w:pStyle w:val="Zkladntext"/>
        <w:tabs>
          <w:tab w:val="right" w:leader="hyphen" w:pos="9072"/>
        </w:tabs>
      </w:pPr>
      <w:r w:rsidRPr="00710D7A">
        <w:t xml:space="preserve">2. Podepisování za společnost se děje tak, že k vytištěné, či jinak vyznačené obchodní firmě společnosti připojí </w:t>
      </w:r>
      <w:r>
        <w:t xml:space="preserve">jediný člen představenstva </w:t>
      </w:r>
      <w:r w:rsidRPr="00710D7A">
        <w:t xml:space="preserve">svůj podpis. </w:t>
      </w:r>
      <w:r w:rsidRPr="00710D7A">
        <w:tab/>
      </w:r>
    </w:p>
    <w:p w:rsidR="004E651C" w:rsidRDefault="004E651C" w:rsidP="00EB734F">
      <w:pPr>
        <w:pStyle w:val="Nadpis3"/>
        <w:tabs>
          <w:tab w:val="right" w:leader="hyphen" w:pos="9072"/>
        </w:tabs>
        <w:jc w:val="center"/>
        <w:rPr>
          <w:rFonts w:ascii="Times New Roman" w:hAnsi="Times New Roman" w:cs="Times New Roman"/>
          <w:sz w:val="24"/>
        </w:rPr>
      </w:pPr>
    </w:p>
    <w:p w:rsidR="00EB734F" w:rsidRPr="004E651C" w:rsidRDefault="00EB734F" w:rsidP="004E651C">
      <w:pPr>
        <w:pStyle w:val="Nadpis3"/>
        <w:tabs>
          <w:tab w:val="right" w:leader="hyphen" w:pos="9072"/>
        </w:tabs>
        <w:jc w:val="center"/>
        <w:rPr>
          <w:rFonts w:ascii="Times New Roman" w:hAnsi="Times New Roman" w:cs="Times New Roman"/>
          <w:sz w:val="24"/>
        </w:rPr>
      </w:pPr>
      <w:r w:rsidRPr="00710D7A">
        <w:rPr>
          <w:rFonts w:ascii="Times New Roman" w:hAnsi="Times New Roman" w:cs="Times New Roman"/>
          <w:sz w:val="24"/>
        </w:rPr>
        <w:t>II. ZÁKLADNÍ KAPITÁL SPOLEČNOSTI A AKCIE</w:t>
      </w:r>
    </w:p>
    <w:p w:rsidR="00EB734F" w:rsidRPr="003F206A" w:rsidRDefault="00EB734F" w:rsidP="00EB734F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  <w:r w:rsidRPr="003F206A">
        <w:rPr>
          <w:b/>
        </w:rPr>
        <w:t>§ 6</w:t>
      </w:r>
    </w:p>
    <w:p w:rsidR="00EB734F" w:rsidRPr="007F28E4" w:rsidRDefault="00EB734F" w:rsidP="00EB734F">
      <w:pPr>
        <w:pStyle w:val="Nadpis4"/>
        <w:tabs>
          <w:tab w:val="right" w:leader="hyphen" w:pos="9072"/>
        </w:tabs>
        <w:spacing w:after="120"/>
        <w:rPr>
          <w:b/>
          <w:sz w:val="24"/>
        </w:rPr>
      </w:pPr>
      <w:r w:rsidRPr="007F28E4">
        <w:rPr>
          <w:b/>
          <w:sz w:val="24"/>
        </w:rPr>
        <w:t>Základní kapitál a akcie</w:t>
      </w:r>
    </w:p>
    <w:p w:rsidR="00EB734F" w:rsidRPr="00710D7A" w:rsidRDefault="00EB734F" w:rsidP="00EB734F">
      <w:pPr>
        <w:tabs>
          <w:tab w:val="right" w:leader="hyphen" w:pos="9072"/>
        </w:tabs>
        <w:spacing w:after="120"/>
        <w:ind w:left="180"/>
        <w:jc w:val="both"/>
      </w:pPr>
      <w:r w:rsidRPr="00710D7A">
        <w:t xml:space="preserve">1. Základní kapitál společnosti činí 2.000.000,- Kč, slovy: dva miliony korun českých. </w:t>
      </w:r>
      <w:r w:rsidRPr="00710D7A">
        <w:tab/>
      </w:r>
    </w:p>
    <w:p w:rsidR="00EB734F" w:rsidRDefault="00EB734F" w:rsidP="00EB734F">
      <w:pPr>
        <w:tabs>
          <w:tab w:val="right" w:leader="hyphen" w:pos="9072"/>
        </w:tabs>
        <w:spacing w:after="120"/>
        <w:ind w:left="181"/>
        <w:jc w:val="both"/>
        <w:rPr>
          <w:snapToGrid w:val="0"/>
        </w:rPr>
      </w:pPr>
      <w:r>
        <w:t>2. Společnost vydala</w:t>
      </w:r>
      <w:r w:rsidRPr="001C4288">
        <w:t xml:space="preserve"> pouze kmenové akcie v listinné podobě, znějící na jméno. Akcie </w:t>
      </w:r>
      <w:r w:rsidRPr="001C4288">
        <w:rPr>
          <w:snapToGrid w:val="0"/>
        </w:rPr>
        <w:t>nejsou přijaty k obchodování na evropském regulovaném trhu.</w:t>
      </w:r>
      <w:r>
        <w:rPr>
          <w:snapToGrid w:val="0"/>
        </w:rPr>
        <w:tab/>
      </w:r>
    </w:p>
    <w:p w:rsidR="00EB734F" w:rsidRPr="001C4288" w:rsidRDefault="00EB734F" w:rsidP="00EB734F">
      <w:pPr>
        <w:tabs>
          <w:tab w:val="right" w:leader="hyphen" w:pos="9072"/>
        </w:tabs>
        <w:spacing w:after="120"/>
        <w:ind w:left="181"/>
        <w:jc w:val="both"/>
      </w:pPr>
      <w:r w:rsidRPr="001C4288">
        <w:t xml:space="preserve">3. </w:t>
      </w:r>
      <w:r w:rsidRPr="001C4288">
        <w:rPr>
          <w:snapToGrid w:val="0"/>
        </w:rPr>
        <w:t>Základní kapitál společnosti je rozvržen na:</w:t>
      </w:r>
      <w:r w:rsidRPr="001C4288">
        <w:rPr>
          <w:snapToGrid w:val="0"/>
        </w:rPr>
        <w:tab/>
      </w:r>
    </w:p>
    <w:p w:rsidR="00EB734F" w:rsidRPr="00E845BB" w:rsidRDefault="00EB734F" w:rsidP="00EB734F">
      <w:pPr>
        <w:tabs>
          <w:tab w:val="right" w:leader="hyphen" w:pos="9072"/>
        </w:tabs>
        <w:spacing w:before="120"/>
        <w:ind w:left="426" w:hanging="66"/>
        <w:jc w:val="both"/>
        <w:rPr>
          <w:snapToGrid w:val="0"/>
        </w:rPr>
      </w:pPr>
      <w:r w:rsidRPr="001C4288">
        <w:rPr>
          <w:snapToGrid w:val="0"/>
        </w:rPr>
        <w:t xml:space="preserve">- </w:t>
      </w:r>
      <w:r w:rsidR="00F83C0E">
        <w:rPr>
          <w:snapToGrid w:val="0"/>
        </w:rPr>
        <w:t>10</w:t>
      </w:r>
      <w:r w:rsidRPr="001C4288">
        <w:rPr>
          <w:snapToGrid w:val="0"/>
        </w:rPr>
        <w:t xml:space="preserve"> kusů akcií na jméno o jmenovité hodnotě</w:t>
      </w:r>
      <w:r>
        <w:rPr>
          <w:snapToGrid w:val="0"/>
        </w:rPr>
        <w:t xml:space="preserve"> každé akcie</w:t>
      </w:r>
      <w:r w:rsidR="00F83C0E">
        <w:rPr>
          <w:snapToGrid w:val="0"/>
        </w:rPr>
        <w:t xml:space="preserve"> 2</w:t>
      </w:r>
      <w:r w:rsidRPr="001C4288">
        <w:rPr>
          <w:snapToGrid w:val="0"/>
        </w:rPr>
        <w:t xml:space="preserve">00.000,- Kč (slovy: </w:t>
      </w:r>
      <w:r w:rsidR="00F83C0E">
        <w:rPr>
          <w:snapToGrid w:val="0"/>
        </w:rPr>
        <w:t>dvě stě</w:t>
      </w:r>
      <w:r w:rsidRPr="001C4288">
        <w:rPr>
          <w:snapToGrid w:val="0"/>
        </w:rPr>
        <w:t xml:space="preserve"> tisíc korun českých).</w:t>
      </w:r>
      <w:r w:rsidRPr="001C4288">
        <w:rPr>
          <w:snapToGrid w:val="0"/>
        </w:rPr>
        <w:tab/>
      </w:r>
    </w:p>
    <w:p w:rsidR="00EB734F" w:rsidRPr="00710D7A" w:rsidRDefault="00EB734F" w:rsidP="00EB734F">
      <w:pPr>
        <w:tabs>
          <w:tab w:val="right" w:leader="hyphen" w:pos="9072"/>
        </w:tabs>
        <w:spacing w:after="120"/>
        <w:jc w:val="both"/>
      </w:pPr>
      <w:r>
        <w:t xml:space="preserve">  4</w:t>
      </w:r>
      <w:r w:rsidRPr="00710D7A">
        <w:t xml:space="preserve">. Počet hlasů spojených s jednou akcií: </w:t>
      </w:r>
      <w:r w:rsidRPr="00710D7A">
        <w:tab/>
      </w:r>
    </w:p>
    <w:p w:rsidR="00EB734F" w:rsidRDefault="00EB734F" w:rsidP="00EB734F">
      <w:pPr>
        <w:numPr>
          <w:ilvl w:val="0"/>
          <w:numId w:val="1"/>
        </w:numPr>
        <w:tabs>
          <w:tab w:val="right" w:leader="hyphen" w:pos="9072"/>
        </w:tabs>
        <w:spacing w:before="120" w:line="240" w:lineRule="atLeast"/>
        <w:ind w:left="714" w:hanging="357"/>
        <w:jc w:val="both"/>
      </w:pPr>
      <w:r w:rsidRPr="00710D7A">
        <w:t xml:space="preserve">na </w:t>
      </w:r>
      <w:r w:rsidR="00F83C0E">
        <w:t>každou akcii jmenovité hodnoty 2</w:t>
      </w:r>
      <w:r w:rsidRPr="00710D7A">
        <w:t>00.000,- Kč</w:t>
      </w:r>
      <w:r>
        <w:t xml:space="preserve"> </w:t>
      </w:r>
      <w:r w:rsidRPr="001C4288">
        <w:rPr>
          <w:snapToGrid w:val="0"/>
        </w:rPr>
        <w:t xml:space="preserve">(slovy: </w:t>
      </w:r>
      <w:r w:rsidR="006F00E3">
        <w:rPr>
          <w:snapToGrid w:val="0"/>
        </w:rPr>
        <w:t>dvě stě</w:t>
      </w:r>
      <w:r w:rsidRPr="001C4288">
        <w:rPr>
          <w:snapToGrid w:val="0"/>
        </w:rPr>
        <w:t xml:space="preserve"> tisíc korun českých)</w:t>
      </w:r>
      <w:r w:rsidRPr="00710D7A">
        <w:t xml:space="preserve"> připadá 1 hlas. </w:t>
      </w:r>
      <w:r w:rsidRPr="00710D7A">
        <w:tab/>
      </w:r>
    </w:p>
    <w:p w:rsidR="00EB734F" w:rsidRDefault="00EB734F" w:rsidP="00EB734F">
      <w:pPr>
        <w:tabs>
          <w:tab w:val="right" w:leader="hyphen" w:pos="9072"/>
        </w:tabs>
        <w:spacing w:before="120" w:line="240" w:lineRule="atLeast"/>
        <w:ind w:left="357"/>
        <w:jc w:val="both"/>
      </w:pPr>
      <w:r>
        <w:t>Celkový počet h</w:t>
      </w:r>
      <w:r w:rsidR="006F00E3">
        <w:t>lasů ve společnosti je deset (1</w:t>
      </w:r>
      <w:r>
        <w:t xml:space="preserve">0). </w:t>
      </w:r>
      <w:r>
        <w:tab/>
      </w:r>
    </w:p>
    <w:p w:rsidR="00EB734F" w:rsidRDefault="00EB734F" w:rsidP="00EB734F">
      <w:pPr>
        <w:tabs>
          <w:tab w:val="right" w:leader="hyphen" w:pos="9072"/>
        </w:tabs>
        <w:spacing w:before="120" w:line="240" w:lineRule="atLeast"/>
        <w:jc w:val="both"/>
      </w:pPr>
      <w:r>
        <w:t xml:space="preserve">  5. Akcie jsou převoditelné bez omezení. --------------------------------------------------------------</w:t>
      </w:r>
    </w:p>
    <w:p w:rsidR="00EB734F" w:rsidRPr="00990746" w:rsidRDefault="00EB734F" w:rsidP="00EB734F">
      <w:pPr>
        <w:tabs>
          <w:tab w:val="right" w:leader="hyphen" w:pos="9072"/>
        </w:tabs>
        <w:spacing w:before="120" w:line="240" w:lineRule="atLeast"/>
        <w:ind w:left="426" w:hanging="426"/>
        <w:jc w:val="both"/>
      </w:pPr>
      <w:r w:rsidRPr="00990746">
        <w:t xml:space="preserve">  6. Společnost vede seznam akcionářů. Do seznamu akcionářů </w:t>
      </w:r>
      <w:r>
        <w:t>se zapisují označení druhu akcie</w:t>
      </w:r>
      <w:r w:rsidRPr="00990746">
        <w:t>, její jmenovitá hodnota, jméno a bydliště/sídlo akcionáře, číslo bankovního účtu vedeného u osoby oprávněné poskytovat bankovní služby ve státě, jenž je plnoprávným členem Organizace pro hospodářskou spolupráci a rozvoj, označení akcie a změny zapisovaných údajů.</w:t>
      </w:r>
      <w:r>
        <w:tab/>
      </w:r>
    </w:p>
    <w:p w:rsidR="00EB734F" w:rsidRDefault="00EB734F" w:rsidP="00EB734F">
      <w:pPr>
        <w:pStyle w:val="Nadpis3"/>
        <w:rPr>
          <w:rFonts w:ascii="Times New Roman" w:hAnsi="Times New Roman" w:cs="Times New Roman"/>
          <w:sz w:val="24"/>
        </w:rPr>
      </w:pPr>
    </w:p>
    <w:p w:rsidR="00EB734F" w:rsidRPr="00710D7A" w:rsidRDefault="00EB734F" w:rsidP="00EB734F">
      <w:pPr>
        <w:pStyle w:val="Nadpis3"/>
        <w:jc w:val="center"/>
        <w:rPr>
          <w:rFonts w:ascii="Times New Roman" w:hAnsi="Times New Roman" w:cs="Times New Roman"/>
          <w:sz w:val="24"/>
        </w:rPr>
      </w:pPr>
      <w:r w:rsidRPr="00710D7A">
        <w:rPr>
          <w:rFonts w:ascii="Times New Roman" w:hAnsi="Times New Roman" w:cs="Times New Roman"/>
          <w:sz w:val="24"/>
        </w:rPr>
        <w:t>III. ZVÝŠENÍ A SNÍŽENÍ ZÁKLADNÍHO KAPITÁLU</w:t>
      </w:r>
    </w:p>
    <w:p w:rsidR="00EB734F" w:rsidRPr="00710D7A" w:rsidRDefault="00EB734F" w:rsidP="00EB734F">
      <w:pPr>
        <w:spacing w:before="120" w:line="240" w:lineRule="atLeast"/>
      </w:pPr>
    </w:p>
    <w:p w:rsidR="00EB734F" w:rsidRPr="003F206A" w:rsidRDefault="00EB734F" w:rsidP="00EB734F">
      <w:pPr>
        <w:spacing w:before="120" w:line="240" w:lineRule="atLeast"/>
        <w:jc w:val="center"/>
        <w:rPr>
          <w:b/>
        </w:rPr>
      </w:pPr>
      <w:r w:rsidRPr="003F206A">
        <w:rPr>
          <w:b/>
        </w:rPr>
        <w:t>§ 7</w:t>
      </w:r>
    </w:p>
    <w:p w:rsidR="00EB734F" w:rsidRPr="007F28E4" w:rsidRDefault="00EB734F" w:rsidP="00EB734F">
      <w:pPr>
        <w:pStyle w:val="Nadpis4"/>
        <w:spacing w:before="120" w:line="240" w:lineRule="atLeast"/>
        <w:rPr>
          <w:b/>
          <w:sz w:val="24"/>
        </w:rPr>
      </w:pPr>
      <w:r w:rsidRPr="007F28E4">
        <w:rPr>
          <w:b/>
          <w:sz w:val="24"/>
        </w:rPr>
        <w:t>Zvýšení základního kapitálu</w:t>
      </w:r>
    </w:p>
    <w:p w:rsidR="00EB734F" w:rsidRDefault="00EB734F" w:rsidP="00EB734F"/>
    <w:p w:rsidR="00EB734F" w:rsidRPr="007F28E4" w:rsidRDefault="00EB734F" w:rsidP="00EB734F">
      <w:pPr>
        <w:numPr>
          <w:ilvl w:val="0"/>
          <w:numId w:val="7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>
        <w:t>O zvýšení</w:t>
      </w:r>
      <w:r w:rsidRPr="007F28E4">
        <w:t xml:space="preserve"> základního kapitálu rozhoduje valná hromada nebo představenstvo na základě pověření valnou hromadou v souladu se ZOK a těmito stanovami. </w:t>
      </w:r>
      <w:r w:rsidRPr="007F28E4">
        <w:tab/>
      </w:r>
    </w:p>
    <w:p w:rsidR="00EB734F" w:rsidRPr="007F28E4" w:rsidRDefault="00EB734F" w:rsidP="00EB734F">
      <w:pPr>
        <w:numPr>
          <w:ilvl w:val="0"/>
          <w:numId w:val="7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>Účinky zvýšení základního kapitálu nastávají ode dne zápisu jeho výše do obchodního rejstříku.</w:t>
      </w:r>
      <w:r w:rsidRPr="007F28E4">
        <w:rPr>
          <w:snapToGrid w:val="0"/>
        </w:rPr>
        <w:tab/>
      </w:r>
    </w:p>
    <w:p w:rsidR="00EB734F" w:rsidRDefault="00EB734F" w:rsidP="00EB734F"/>
    <w:p w:rsidR="00142970" w:rsidRDefault="00142970" w:rsidP="00EB734F"/>
    <w:p w:rsidR="00142970" w:rsidRDefault="00142970" w:rsidP="00EB734F"/>
    <w:p w:rsidR="00142970" w:rsidRDefault="00142970" w:rsidP="00EB734F"/>
    <w:p w:rsidR="00570B17" w:rsidRDefault="00570B17" w:rsidP="00EB734F"/>
    <w:p w:rsidR="003C57B3" w:rsidRPr="00710D7A" w:rsidRDefault="003C57B3" w:rsidP="00EB734F"/>
    <w:p w:rsidR="00EB734F" w:rsidRPr="003F206A" w:rsidRDefault="00EB734F" w:rsidP="00EB734F">
      <w:pPr>
        <w:tabs>
          <w:tab w:val="left" w:pos="720"/>
          <w:tab w:val="center" w:pos="4536"/>
        </w:tabs>
        <w:spacing w:before="120" w:line="240" w:lineRule="atLeast"/>
        <w:rPr>
          <w:b/>
        </w:rPr>
      </w:pPr>
      <w:r w:rsidRPr="00710D7A">
        <w:tab/>
      </w:r>
      <w:r w:rsidRPr="00710D7A">
        <w:tab/>
      </w:r>
      <w:r w:rsidRPr="003F206A">
        <w:rPr>
          <w:b/>
        </w:rPr>
        <w:t>§ 8</w:t>
      </w:r>
    </w:p>
    <w:p w:rsidR="00EB734F" w:rsidRPr="007F28E4" w:rsidRDefault="00EB734F" w:rsidP="00142970">
      <w:pPr>
        <w:tabs>
          <w:tab w:val="right" w:leader="hyphen" w:pos="9072"/>
        </w:tabs>
        <w:spacing w:before="120" w:after="240"/>
        <w:jc w:val="center"/>
        <w:rPr>
          <w:b/>
          <w:snapToGrid w:val="0"/>
        </w:rPr>
      </w:pPr>
      <w:r w:rsidRPr="007F28E4">
        <w:rPr>
          <w:b/>
        </w:rPr>
        <w:t>Zvýšení základního kapitálu upsáním nových akcií</w:t>
      </w:r>
    </w:p>
    <w:p w:rsidR="00EB734F" w:rsidRDefault="00EB734F" w:rsidP="00EB734F">
      <w:pPr>
        <w:numPr>
          <w:ilvl w:val="0"/>
          <w:numId w:val="8"/>
        </w:numPr>
        <w:tabs>
          <w:tab w:val="right" w:leader="hyphen" w:pos="9072"/>
        </w:tabs>
        <w:jc w:val="both"/>
        <w:rPr>
          <w:snapToGrid w:val="0"/>
        </w:rPr>
      </w:pPr>
      <w:r w:rsidRPr="007F28E4">
        <w:rPr>
          <w:snapToGrid w:val="0"/>
        </w:rPr>
        <w:t>Zvýšení základního kapitálu upsáním nových akcií je přípustné, jestliže akcionáři zcela splatili emisní kurs dříve upsaných akcií, ledaže dosud nesplacená část emisního kursu je vzhledem k výši základního kapitálu zanedbatelná a valná hromada se zvýšením základního kapitálu tímto postupem projeví souhlas. Omezení neplatí, jestliže se zvyšuje základní kapitál upisováním akcií a jejich</w:t>
      </w:r>
      <w:r>
        <w:rPr>
          <w:snapToGrid w:val="0"/>
        </w:rPr>
        <w:t xml:space="preserve"> emisní kurs se splácí</w:t>
      </w:r>
      <w:r w:rsidR="00AD6BF1">
        <w:rPr>
          <w:snapToGrid w:val="0"/>
        </w:rPr>
        <w:t xml:space="preserve"> pouze</w:t>
      </w:r>
      <w:r w:rsidRPr="007F28E4">
        <w:rPr>
          <w:snapToGrid w:val="0"/>
        </w:rPr>
        <w:t xml:space="preserve"> nepeněžitými vklady. </w:t>
      </w:r>
      <w:r w:rsidRPr="007F28E4">
        <w:rPr>
          <w:snapToGrid w:val="0"/>
        </w:rPr>
        <w:tab/>
      </w:r>
    </w:p>
    <w:p w:rsidR="00EB734F" w:rsidRPr="007F28E4" w:rsidRDefault="00EB734F" w:rsidP="00EB734F">
      <w:pPr>
        <w:tabs>
          <w:tab w:val="right" w:leader="hyphen" w:pos="9072"/>
        </w:tabs>
        <w:ind w:left="360"/>
        <w:jc w:val="both"/>
        <w:rPr>
          <w:snapToGrid w:val="0"/>
        </w:rPr>
      </w:pPr>
    </w:p>
    <w:p w:rsidR="00EB734F" w:rsidRPr="001A3D3F" w:rsidRDefault="00EB734F" w:rsidP="00EB734F">
      <w:pPr>
        <w:numPr>
          <w:ilvl w:val="0"/>
          <w:numId w:val="8"/>
        </w:numPr>
        <w:tabs>
          <w:tab w:val="right" w:leader="hyphen" w:pos="9072"/>
        </w:tabs>
        <w:jc w:val="both"/>
        <w:rPr>
          <w:snapToGrid w:val="0"/>
        </w:rPr>
      </w:pPr>
      <w:r w:rsidRPr="007F28E4">
        <w:rPr>
          <w:snapToGrid w:val="0"/>
        </w:rPr>
        <w:t>Usnesení valné hromady o zvýšení základníh</w:t>
      </w:r>
      <w:r>
        <w:rPr>
          <w:snapToGrid w:val="0"/>
        </w:rPr>
        <w:t xml:space="preserve">o kapitálu upisováním akcií </w:t>
      </w:r>
      <w:r w:rsidRPr="007F28E4">
        <w:rPr>
          <w:snapToGrid w:val="0"/>
        </w:rPr>
        <w:t>obsah</w:t>
      </w:r>
      <w:r>
        <w:rPr>
          <w:snapToGrid w:val="0"/>
        </w:rPr>
        <w:t xml:space="preserve">uje </w:t>
      </w:r>
      <w:r w:rsidRPr="007F28E4">
        <w:rPr>
          <w:snapToGrid w:val="0"/>
        </w:rPr>
        <w:t xml:space="preserve">náležitosti stanovené v § 475 a § 476 ZOK. Představenstvo je povinno podat návrh na zápis tohoto usnesení do obchodního rejstříku bez zbytečného odkladu po jeho přijetí  </w:t>
      </w:r>
      <w:r w:rsidRPr="001A3D3F">
        <w:rPr>
          <w:snapToGrid w:val="0"/>
        </w:rPr>
        <w:t xml:space="preserve">valnou hromadou. Návrh na zápis usnesení valné hromady může být spojen s návrhem na zápis nové výše základního kapitálu do obchodního rejstříku. </w:t>
      </w:r>
      <w:r w:rsidRPr="001A3D3F">
        <w:rPr>
          <w:snapToGrid w:val="0"/>
        </w:rPr>
        <w:tab/>
      </w:r>
    </w:p>
    <w:p w:rsidR="00EB734F" w:rsidRPr="00EB734F" w:rsidRDefault="00EB734F" w:rsidP="00EB734F">
      <w:pPr>
        <w:numPr>
          <w:ilvl w:val="0"/>
          <w:numId w:val="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  <w:color w:val="000000"/>
        </w:rPr>
        <w:t xml:space="preserve">Každý akcionář má přednostní právo upsat část nových akcií společnosti upisovaných ke zvýšení základního kapitálu v rozsahu jeho podílu na základním kapitálu společnosti, pokud se akcie upisují peněžitými vklady. Přednostní právo spojené s akciemi je samostatně převoditelné ode dne, kdy valná hromada rozhodla o zvýšení základního kapitálu </w:t>
      </w:r>
      <w:r>
        <w:rPr>
          <w:snapToGrid w:val="0"/>
          <w:color w:val="000000"/>
        </w:rPr>
        <w:t>upisováním nových akcií. Je-</w:t>
      </w:r>
      <w:r w:rsidRPr="007F28E4">
        <w:rPr>
          <w:snapToGrid w:val="0"/>
          <w:color w:val="000000"/>
        </w:rPr>
        <w:t xml:space="preserve">li převoditelnost akcií omezena, platí stejné omezení i pro převod přednostního práva. </w:t>
      </w:r>
      <w:r w:rsidRPr="007F28E4">
        <w:rPr>
          <w:snapToGrid w:val="0"/>
        </w:rPr>
        <w:t>Informaci o přednostním právu obsahující náležitosti uvedené v § 485 ZOK je představenstvo povinno uveřejnit způsobem určeným zákonem a těmito stanovami pro svolání valné hromady.</w:t>
      </w:r>
      <w:r w:rsidRPr="007F28E4">
        <w:rPr>
          <w:snapToGrid w:val="0"/>
        </w:rPr>
        <w:tab/>
      </w:r>
    </w:p>
    <w:p w:rsidR="00EB734F" w:rsidRPr="007F28E4" w:rsidRDefault="00EB734F" w:rsidP="00EB734F">
      <w:pPr>
        <w:numPr>
          <w:ilvl w:val="0"/>
          <w:numId w:val="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>Představenstvo je povinno podat n</w:t>
      </w:r>
      <w:r w:rsidR="00AD6BF1">
        <w:rPr>
          <w:snapToGrid w:val="0"/>
        </w:rPr>
        <w:t>ávrh na zápis výše základního kapitálu do</w:t>
      </w:r>
      <w:r w:rsidRPr="007F28E4">
        <w:rPr>
          <w:snapToGrid w:val="0"/>
        </w:rPr>
        <w:t xml:space="preserve"> obchodního  r</w:t>
      </w:r>
      <w:r w:rsidR="00AD6BF1">
        <w:rPr>
          <w:snapToGrid w:val="0"/>
        </w:rPr>
        <w:t xml:space="preserve">ejstříku   po  upsání  akcií </w:t>
      </w:r>
      <w:r w:rsidRPr="007F28E4">
        <w:rPr>
          <w:snapToGrid w:val="0"/>
        </w:rPr>
        <w:t>odpovídajících rozsahu jeho zvýšení a po splacení alespoň 30% jejich jmenovité hodnoty, včetně případného emisní</w:t>
      </w:r>
      <w:r>
        <w:rPr>
          <w:snapToGrid w:val="0"/>
        </w:rPr>
        <w:t>ho á</w:t>
      </w:r>
      <w:r w:rsidR="00892766">
        <w:rPr>
          <w:snapToGrid w:val="0"/>
        </w:rPr>
        <w:t xml:space="preserve">žia, </w:t>
      </w:r>
      <w:r>
        <w:rPr>
          <w:snapToGrid w:val="0"/>
        </w:rPr>
        <w:t>jde-li  o  peněžité  vklady, a po splacení všech</w:t>
      </w:r>
      <w:r w:rsidRPr="007F28E4">
        <w:rPr>
          <w:snapToGrid w:val="0"/>
        </w:rPr>
        <w:t xml:space="preserve"> nepeněžitých vkladů.</w:t>
      </w:r>
      <w:r w:rsidRPr="007F28E4">
        <w:rPr>
          <w:snapToGrid w:val="0"/>
        </w:rPr>
        <w:tab/>
      </w:r>
    </w:p>
    <w:p w:rsidR="00EB734F" w:rsidRDefault="00EB734F" w:rsidP="00EB734F">
      <w:pPr>
        <w:numPr>
          <w:ilvl w:val="0"/>
          <w:numId w:val="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 xml:space="preserve">Postup a pravidla zvyšování základního kapitálu upsáním nových akcií se jinak řídí § 474 a násl. ZOK. </w:t>
      </w:r>
      <w:r w:rsidRPr="007F28E4">
        <w:rPr>
          <w:snapToGrid w:val="0"/>
        </w:rPr>
        <w:tab/>
      </w:r>
    </w:p>
    <w:p w:rsidR="00AD6BF1" w:rsidRPr="00AD6BF1" w:rsidRDefault="00AD6BF1" w:rsidP="00AD6BF1">
      <w:pPr>
        <w:tabs>
          <w:tab w:val="right" w:leader="hyphen" w:pos="9072"/>
        </w:tabs>
        <w:spacing w:before="120"/>
        <w:ind w:left="360"/>
        <w:jc w:val="both"/>
        <w:rPr>
          <w:snapToGrid w:val="0"/>
        </w:rPr>
      </w:pPr>
    </w:p>
    <w:p w:rsidR="00EB734F" w:rsidRPr="007F28E4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7F28E4">
        <w:rPr>
          <w:b/>
          <w:snapToGrid w:val="0"/>
        </w:rPr>
        <w:t xml:space="preserve"> 9</w:t>
      </w:r>
    </w:p>
    <w:p w:rsidR="00EB734F" w:rsidRPr="007F28E4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7F28E4">
        <w:rPr>
          <w:b/>
        </w:rPr>
        <w:t>Zvýšení základního kapitálu z vlastních zdrojů společnosti</w:t>
      </w:r>
    </w:p>
    <w:p w:rsidR="00EB734F" w:rsidRPr="007F28E4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7F28E4">
        <w:rPr>
          <w:snapToGrid w:val="0"/>
        </w:rPr>
        <w:t>Valná hromada může rozhodnout o zvýšení základního kapitálu z vlastních zdrojů vykázaných ve schválené řádné, mimořádné nebo mezitímní účetní závěrce ve vlastním kapitálu společnosti, ledaže jsou tyto zdroje účelově vázány a společnost není oprávněna jejich účel měnit. Čistý zisk nelze použít při zvyšování základního kapitálu na základě mezitímní účetní závěrky.</w:t>
      </w:r>
      <w:r w:rsidRPr="007F28E4">
        <w:rPr>
          <w:snapToGrid w:val="0"/>
        </w:rPr>
        <w:tab/>
      </w:r>
    </w:p>
    <w:p w:rsidR="00EB734F" w:rsidRPr="007F28E4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7F28E4">
        <w:rPr>
          <w:snapToGrid w:val="0"/>
          <w:color w:val="000000"/>
        </w:rPr>
        <w:t xml:space="preserve">Předpokladem zvýšení základního kapitálu je, že účetní závěrka byla ověřena auditorem bez výhrad a byla sestavena z údajů zjištěných nejpozději ke dni, od něhož v den rozhodnutí valné hromady o zvýšení základního kapitálu neuplynulo více než šest měsíců. Jestliže však společnost z jakékoliv mezitímní účetní závěrky zjistila snížení vlastních zdrojů, nemůže použít údaje z řádné nebo mimořádné účetní závěrky, ale musí vycházet z této mezitímní účetní závěrky. </w:t>
      </w:r>
      <w:r w:rsidRPr="007F28E4">
        <w:rPr>
          <w:snapToGrid w:val="0"/>
          <w:color w:val="000000"/>
        </w:rPr>
        <w:tab/>
      </w:r>
    </w:p>
    <w:p w:rsidR="00EB734F" w:rsidRPr="007F28E4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  <w:color w:val="000000"/>
        </w:rPr>
        <w:t xml:space="preserve">Ke zvýšení základního kapitálu nelze použít rezervních fondů, které jsou vytvořeny k jiným účelům, ani vlastních zdrojů, jež jsou účelově vázány a jejichž účel není společnost oprávněna měnit. </w:t>
      </w:r>
      <w:r w:rsidRPr="007F28E4">
        <w:rPr>
          <w:snapToGrid w:val="0"/>
          <w:color w:val="000000"/>
        </w:rPr>
        <w:tab/>
      </w:r>
    </w:p>
    <w:p w:rsidR="00EB734F" w:rsidRPr="007F28E4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>Na zvýšení základního kapitálu se podílejí akcionáři v poměru jmenovitých hodnot jejich akcií. Na zvýšení základního kapitálu se podílejí i vlastní akcie v majetku společnosti, která základní kapitál zvyšuje, i akcie této společnosti, jež jsou v majetku jí ovládané osoby nebo osoby ovládané ovládanou osobou.</w:t>
      </w:r>
      <w:r w:rsidRPr="007F28E4">
        <w:rPr>
          <w:snapToGrid w:val="0"/>
        </w:rPr>
        <w:tab/>
      </w:r>
    </w:p>
    <w:p w:rsidR="00EB734F" w:rsidRPr="001A3D3F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 xml:space="preserve">Zvýšení základního kapitálu se provede buď vydáním nových akcií a jejich bezplatným rozdělením mezi akcionáře podle poměru jmenovitých hodnot jejich akcií, nebo zvýšením </w:t>
      </w:r>
      <w:r w:rsidRPr="003F206A">
        <w:rPr>
          <w:snapToGrid w:val="0"/>
        </w:rPr>
        <w:t xml:space="preserve">jmenovité hodnoty dosavadních akcií. Zvýšení jmenovité hodnoty dosavadních listinných akcií se provede buď jejich výměnou, nebo vyznačením vyšší jmenovité hodnoty </w:t>
      </w:r>
      <w:r w:rsidRPr="001A3D3F">
        <w:rPr>
          <w:snapToGrid w:val="0"/>
        </w:rPr>
        <w:t>dosavadních akcií s podpisem člena nebo členů představenstva oprávněných jednat jménem společnosti.</w:t>
      </w:r>
      <w:r w:rsidRPr="001A3D3F">
        <w:rPr>
          <w:snapToGrid w:val="0"/>
        </w:rPr>
        <w:tab/>
      </w:r>
    </w:p>
    <w:p w:rsidR="00EB734F" w:rsidRPr="007F28E4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  <w:color w:val="000000"/>
        </w:rPr>
        <w:t xml:space="preserve">Představenstvo vyzve akcionáře způsobem stanoveným ZOK a stanovami pro svolání valné hromady, aby akcie ve valnou hromadou určené lhůtě předložili k výměně nebo k vyznačení vyšší jmenovité hodnoty. O rozhodnutí o zvýšení základního kapitálu musí být pořízen notářský zápis. </w:t>
      </w:r>
      <w:r w:rsidRPr="007F28E4">
        <w:rPr>
          <w:snapToGrid w:val="0"/>
          <w:color w:val="000000"/>
        </w:rPr>
        <w:tab/>
      </w:r>
    </w:p>
    <w:p w:rsidR="00EB734F" w:rsidRPr="007F28E4" w:rsidRDefault="00EB734F" w:rsidP="00EB734F">
      <w:pPr>
        <w:numPr>
          <w:ilvl w:val="0"/>
          <w:numId w:val="9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>Podmínky zvýšení základního kapitálu z vlastních zdrojů společnosti, postup při tomto zvýšen</w:t>
      </w:r>
      <w:r>
        <w:rPr>
          <w:snapToGrid w:val="0"/>
        </w:rPr>
        <w:t xml:space="preserve">í, jakož i následky spojené s </w:t>
      </w:r>
      <w:r w:rsidRPr="007F28E4">
        <w:rPr>
          <w:snapToGrid w:val="0"/>
        </w:rPr>
        <w:t xml:space="preserve">nereagováním akcionáře na výzvy podle předchozího odstavce, se řídí ZOK, zejména § 495 a násl. </w:t>
      </w:r>
      <w:r w:rsidRPr="007F28E4">
        <w:rPr>
          <w:snapToGrid w:val="0"/>
        </w:rPr>
        <w:tab/>
      </w: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snapToGrid w:val="0"/>
        </w:rPr>
      </w:pPr>
    </w:p>
    <w:p w:rsidR="00EB734F" w:rsidRPr="007F28E4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7F28E4">
        <w:rPr>
          <w:b/>
          <w:snapToGrid w:val="0"/>
        </w:rPr>
        <w:t xml:space="preserve"> 10</w:t>
      </w: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b/>
        </w:rPr>
      </w:pPr>
      <w:r w:rsidRPr="007F28E4">
        <w:rPr>
          <w:b/>
        </w:rPr>
        <w:t>Zvýšení základního kapitálu představenstvem</w:t>
      </w:r>
    </w:p>
    <w:p w:rsidR="00EB734F" w:rsidRPr="003F206A" w:rsidRDefault="00EB734F" w:rsidP="00EB734F">
      <w:pPr>
        <w:tabs>
          <w:tab w:val="right" w:leader="hyphen" w:pos="9072"/>
        </w:tabs>
        <w:jc w:val="center"/>
        <w:rPr>
          <w:b/>
          <w:snapToGrid w:val="0"/>
        </w:rPr>
      </w:pPr>
    </w:p>
    <w:p w:rsidR="00EB734F" w:rsidRDefault="00EB734F" w:rsidP="00EB734F">
      <w:pPr>
        <w:numPr>
          <w:ilvl w:val="0"/>
          <w:numId w:val="10"/>
        </w:numPr>
        <w:tabs>
          <w:tab w:val="right" w:leader="hyphen" w:pos="9072"/>
        </w:tabs>
        <w:jc w:val="both"/>
        <w:rPr>
          <w:snapToGrid w:val="0"/>
        </w:rPr>
      </w:pPr>
      <w:r w:rsidRPr="007F28E4">
        <w:rPr>
          <w:snapToGrid w:val="0"/>
        </w:rPr>
        <w:t xml:space="preserve">Valná hromada může pověřit představenstvo, aby za podmínek stanovených tímto zákonem a stanovami zvýšilo základní kapitál upisováním nových akcií, podmíněným zvýšením základního kapitálu nebo z vlastních zdrojů společnosti s výjimkou nerozděleného zisku, nejvýše však o jednu polovinu dosavadní  výše  základního  kapitálu v době pověření.  Pověření představenstva k rozhodnutí  o zvýšení  základního kapitálu  nahrazuje rozhodnutí valné hromady  o zvýšení základního kapitálu a určí: </w:t>
      </w:r>
      <w:r w:rsidRPr="007F28E4">
        <w:rPr>
          <w:snapToGrid w:val="0"/>
        </w:rPr>
        <w:tab/>
        <w:t xml:space="preserve"> </w:t>
      </w:r>
    </w:p>
    <w:p w:rsidR="00EB734F" w:rsidRPr="007F28E4" w:rsidRDefault="00EB734F" w:rsidP="00EB734F">
      <w:pPr>
        <w:tabs>
          <w:tab w:val="right" w:leader="hyphen" w:pos="9072"/>
        </w:tabs>
        <w:ind w:left="360"/>
        <w:jc w:val="both"/>
        <w:rPr>
          <w:snapToGrid w:val="0"/>
        </w:rPr>
      </w:pPr>
    </w:p>
    <w:p w:rsidR="00EB734F" w:rsidRPr="007F28E4" w:rsidRDefault="00EB734F" w:rsidP="00EB734F">
      <w:pPr>
        <w:tabs>
          <w:tab w:val="right" w:leader="hyphen" w:pos="9072"/>
        </w:tabs>
        <w:ind w:left="426" w:hanging="142"/>
        <w:jc w:val="both"/>
        <w:rPr>
          <w:snapToGrid w:val="0"/>
        </w:rPr>
      </w:pPr>
      <w:r w:rsidRPr="007F28E4">
        <w:rPr>
          <w:snapToGrid w:val="0"/>
        </w:rPr>
        <w:t xml:space="preserve">a) jmenovitou hodnotu a druh akcií, které mají být vydány na zvýšení základního kapitálu, jejich formu nebo údaj, že budou vydány jako zaknihované cenné papíry, a </w:t>
      </w:r>
      <w:r w:rsidRPr="007F28E4">
        <w:rPr>
          <w:snapToGrid w:val="0"/>
        </w:rPr>
        <w:tab/>
      </w:r>
    </w:p>
    <w:p w:rsidR="00EB734F" w:rsidRPr="007F28E4" w:rsidRDefault="00EB734F" w:rsidP="00EB734F">
      <w:pPr>
        <w:tabs>
          <w:tab w:val="right" w:leader="hyphen" w:pos="9072"/>
        </w:tabs>
        <w:ind w:left="426" w:hanging="142"/>
        <w:jc w:val="both"/>
        <w:rPr>
          <w:snapToGrid w:val="0"/>
        </w:rPr>
      </w:pPr>
      <w:r w:rsidRPr="007F28E4">
        <w:rPr>
          <w:snapToGrid w:val="0"/>
        </w:rPr>
        <w:t xml:space="preserve">b) který orgán společnosti rozhodne o ocenění  nepeněžitého  vkladu na základě posudku znalce, jestliže je představenstvo pověřeno zvýšit základní kapitál. </w:t>
      </w:r>
      <w:r w:rsidRPr="007F28E4">
        <w:rPr>
          <w:snapToGrid w:val="0"/>
        </w:rPr>
        <w:tab/>
      </w:r>
    </w:p>
    <w:p w:rsidR="00EB734F" w:rsidRPr="003F206A" w:rsidRDefault="00EB734F" w:rsidP="00EB734F">
      <w:pPr>
        <w:numPr>
          <w:ilvl w:val="0"/>
          <w:numId w:val="10"/>
        </w:numPr>
        <w:tabs>
          <w:tab w:val="right" w:leader="hyphen" w:pos="9072"/>
        </w:tabs>
        <w:spacing w:before="240" w:after="200"/>
        <w:jc w:val="both"/>
        <w:rPr>
          <w:snapToGrid w:val="0"/>
        </w:rPr>
      </w:pPr>
      <w:r w:rsidRPr="007F28E4">
        <w:rPr>
          <w:snapToGrid w:val="0"/>
        </w:rPr>
        <w:t xml:space="preserve">O rozhodnutí představenstva musí být pořízen notářský zápis.  Do obchodního  rejstříku   se   zapisuje   rozhodnutí představenstva  o  zvýšení  základního  kapitálu.  Návrh na zápis rozhodnutí představenstva může být spojen s návrhem na zápis nové výše základního kapitálu do obchodního rejstříku. Při zvýšení základního kapitálu představenstvem se postupuje obdobně podle ustanovení ZOK o zvýšení základního kapitálu upisováním nových akcií, o podmíněném zvýšení základního kapitálu nebo o zvýšení základního kapitálu z vlastních zdrojů společnosti, s ohledem na zvolený způsob zvýšení základního kapitálu. </w:t>
      </w:r>
      <w:r w:rsidRPr="007F28E4">
        <w:rPr>
          <w:snapToGrid w:val="0"/>
        </w:rPr>
        <w:tab/>
      </w:r>
    </w:p>
    <w:p w:rsidR="00EB734F" w:rsidRPr="007F28E4" w:rsidRDefault="00EB734F" w:rsidP="00EB734F">
      <w:pPr>
        <w:numPr>
          <w:ilvl w:val="0"/>
          <w:numId w:val="10"/>
        </w:numPr>
        <w:tabs>
          <w:tab w:val="right" w:leader="hyphen" w:pos="9072"/>
        </w:tabs>
        <w:jc w:val="both"/>
        <w:rPr>
          <w:snapToGrid w:val="0"/>
        </w:rPr>
      </w:pPr>
      <w:r w:rsidRPr="007F28E4">
        <w:rPr>
          <w:snapToGrid w:val="0"/>
        </w:rPr>
        <w:t>Pověření zvýšit základní kapitál je možno ud</w:t>
      </w:r>
      <w:r>
        <w:rPr>
          <w:snapToGrid w:val="0"/>
        </w:rPr>
        <w:t>ělit na dobu nejdéle pěti roků ode dne, kdy se konala</w:t>
      </w:r>
      <w:r w:rsidRPr="007F28E4">
        <w:rPr>
          <w:snapToGrid w:val="0"/>
        </w:rPr>
        <w:t xml:space="preserve"> valná hromada, která se usnesla na pověření zvýšit základní kapitál.</w:t>
      </w:r>
      <w:r w:rsidRPr="007F28E4">
        <w:rPr>
          <w:snapToGrid w:val="0"/>
        </w:rPr>
        <w:tab/>
      </w:r>
    </w:p>
    <w:p w:rsidR="00892766" w:rsidRPr="007F28E4" w:rsidRDefault="00892766" w:rsidP="00EB734F">
      <w:pPr>
        <w:tabs>
          <w:tab w:val="right" w:leader="hyphen" w:pos="9072"/>
        </w:tabs>
        <w:rPr>
          <w:snapToGrid w:val="0"/>
        </w:rPr>
      </w:pPr>
    </w:p>
    <w:p w:rsidR="00EB734F" w:rsidRPr="007F28E4" w:rsidRDefault="00EB734F" w:rsidP="00EB734F">
      <w:pPr>
        <w:tabs>
          <w:tab w:val="right" w:leader="hyphen" w:pos="9072"/>
        </w:tabs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7F28E4">
        <w:rPr>
          <w:b/>
          <w:snapToGrid w:val="0"/>
        </w:rPr>
        <w:t xml:space="preserve"> 11</w:t>
      </w:r>
    </w:p>
    <w:p w:rsidR="00EB734F" w:rsidRPr="007F28E4" w:rsidRDefault="00EB734F" w:rsidP="00EB734F">
      <w:pPr>
        <w:tabs>
          <w:tab w:val="right" w:leader="hyphen" w:pos="9072"/>
        </w:tabs>
        <w:jc w:val="center"/>
        <w:rPr>
          <w:b/>
        </w:rPr>
      </w:pPr>
      <w:r w:rsidRPr="007F28E4">
        <w:rPr>
          <w:b/>
        </w:rPr>
        <w:t>Ostatní způsoby zvýšení základního kapitálu</w:t>
      </w:r>
    </w:p>
    <w:p w:rsidR="00EB734F" w:rsidRPr="001A3D3F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7F28E4">
        <w:rPr>
          <w:snapToGrid w:val="0"/>
        </w:rPr>
        <w:t xml:space="preserve">Pokud se valná hromada v souladu se stanovami a ZOK usnese na vydání vyměnitelných nebo prioritních dluhopisů, přijme současně usnesení o zvýšení základního kapitálu v rozsahu, v jakém mohou být uplatněna výměnná práva z vyměnitelných dluhopisů nebo přednostní práva z prioritních dluhopisů (jedná se o tzv. "podmíněné zvýšení základního </w:t>
      </w:r>
      <w:r w:rsidRPr="003F206A">
        <w:rPr>
          <w:snapToGrid w:val="0"/>
        </w:rPr>
        <w:t xml:space="preserve">kapitálu"). Podmínky a postup podmíněného zvýšení základního kapitálu se řídí stanovami a ZOK, zejména jeho § 505 a násl. </w:t>
      </w:r>
      <w:r w:rsidRPr="003F206A">
        <w:rPr>
          <w:snapToGrid w:val="0"/>
        </w:rPr>
        <w:tab/>
      </w:r>
    </w:p>
    <w:p w:rsidR="00B90CB2" w:rsidRDefault="00B90CB2" w:rsidP="00EB734F">
      <w:pPr>
        <w:spacing w:before="120" w:line="240" w:lineRule="atLeast"/>
      </w:pP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F22D0E">
        <w:rPr>
          <w:b/>
          <w:snapToGrid w:val="0"/>
        </w:rPr>
        <w:t xml:space="preserve"> 12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Snížení základního kapitálu </w:t>
      </w:r>
    </w:p>
    <w:p w:rsidR="00EB734F" w:rsidRPr="00F22D0E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  <w:color w:val="000000"/>
        </w:rPr>
        <w:t>O snížení základního kapitálu rozhoduje valná hromada na návrh představenstva nebo akcionáře. Základní kapitál nelze snížit pod jeho minimální výši 2.000.000,- Kč (slovy: dva miliony korun českých). Snížením základního kapitálu se nesmí zhoršit dobytnost pohledávek věřitelů.</w:t>
      </w:r>
      <w:r w:rsidRPr="00F22D0E">
        <w:rPr>
          <w:snapToGrid w:val="0"/>
          <w:color w:val="000000"/>
        </w:rPr>
        <w:tab/>
      </w:r>
    </w:p>
    <w:p w:rsidR="00EB734F" w:rsidRPr="00F22D0E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Snížení základního kapitálu provede představenstvo podle § 516 a násl. ZOK. Usnesení valné hromady o snížení základního kapitálu vykonává představenstvo.</w:t>
      </w:r>
      <w:r w:rsidRPr="00F22D0E">
        <w:rPr>
          <w:snapToGrid w:val="0"/>
          <w:color w:val="000000"/>
        </w:rPr>
        <w:tab/>
      </w:r>
    </w:p>
    <w:p w:rsidR="00EB734F" w:rsidRPr="00EB734F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</w:rPr>
        <w:t>Je-li společnost povinna snížit základ</w:t>
      </w:r>
      <w:r>
        <w:rPr>
          <w:snapToGrid w:val="0"/>
        </w:rPr>
        <w:t xml:space="preserve">ní kapitál, použije ke snížení </w:t>
      </w:r>
      <w:r w:rsidRPr="00F22D0E">
        <w:rPr>
          <w:snapToGrid w:val="0"/>
        </w:rPr>
        <w:t>základního kapitálu</w:t>
      </w:r>
      <w:r>
        <w:rPr>
          <w:snapToGrid w:val="0"/>
        </w:rPr>
        <w:t xml:space="preserve"> vlastní akcie </w:t>
      </w:r>
      <w:r w:rsidRPr="00F22D0E">
        <w:rPr>
          <w:snapToGrid w:val="0"/>
        </w:rPr>
        <w:t xml:space="preserve">nebo zatímní listy, má-li je ve svém majetku. V ostatních případech snížení </w:t>
      </w:r>
      <w:r w:rsidRPr="00EB734F">
        <w:rPr>
          <w:snapToGrid w:val="0"/>
        </w:rPr>
        <w:t xml:space="preserve">základního kapitálu  použije   společnost  ke  snížení   základního  kapitálu především  vlastní akcie  nebo zatímní  listy. Jiným postupem lze snižovat základní  kapitál, jen jestliže  tento postup nepostačuje ke snížení  základního kapitálu v rozsahu  určeném valnou hromadou nebo pokud  by tento způsob  snížení základního kapitálu  nesplnil účel  snížení základního kapitálu. Jestliže se snižuje základní kapitál pouze s využitím  vlastních  akcií nebo zatímních listů v majetku  společnosti,   nepoužije  se  ustanovení   o  odděleném hlasování podle druhu akcií. </w:t>
      </w:r>
      <w:r w:rsidRPr="00EB734F">
        <w:rPr>
          <w:snapToGrid w:val="0"/>
        </w:rPr>
        <w:tab/>
      </w:r>
    </w:p>
    <w:p w:rsidR="00EB734F" w:rsidRPr="00F22D0E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Pokud společnost nemá ve svém majetku vlastní akcie nebo zatímní listy nebo použití vlastních akci</w:t>
      </w:r>
      <w:r>
        <w:rPr>
          <w:snapToGrid w:val="0"/>
        </w:rPr>
        <w:t xml:space="preserve">í nebo zatímních </w:t>
      </w:r>
      <w:r w:rsidRPr="00F22D0E">
        <w:rPr>
          <w:snapToGrid w:val="0"/>
        </w:rPr>
        <w:t>listů podle odstavce 3 nepostačuje ke snížení základního kapitálu, je možno provést snížení základního kapitálu:</w:t>
      </w:r>
      <w:r w:rsidRPr="00F22D0E">
        <w:rPr>
          <w:snapToGrid w:val="0"/>
        </w:rPr>
        <w:tab/>
      </w:r>
    </w:p>
    <w:p w:rsidR="00EB734F" w:rsidRPr="00F22D0E" w:rsidRDefault="00EB734F" w:rsidP="00EB734F">
      <w:pPr>
        <w:numPr>
          <w:ilvl w:val="0"/>
          <w:numId w:val="1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snížením jmenovité hodnoty akcií, popřípadě nesplacených akcií, na něž společnost vydala zatímní listy</w:t>
      </w:r>
      <w:r w:rsidRPr="00F22D0E">
        <w:rPr>
          <w:snapToGrid w:val="0"/>
        </w:rPr>
        <w:tab/>
      </w:r>
    </w:p>
    <w:p w:rsidR="00EB734F" w:rsidRPr="00F22D0E" w:rsidRDefault="00EB734F" w:rsidP="00EB734F">
      <w:pPr>
        <w:numPr>
          <w:ilvl w:val="0"/>
          <w:numId w:val="1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</w:rPr>
        <w:t>vzetím akcií z oběhu, a to buď losováním</w:t>
      </w:r>
      <w:r>
        <w:rPr>
          <w:snapToGrid w:val="0"/>
        </w:rPr>
        <w:t>,</w:t>
      </w:r>
      <w:r w:rsidRPr="00F22D0E">
        <w:rPr>
          <w:snapToGrid w:val="0"/>
        </w:rPr>
        <w:t xml:space="preserve"> nebo na základě návrhu akcionářům.</w:t>
      </w:r>
      <w:r w:rsidRPr="00F22D0E">
        <w:rPr>
          <w:snapToGrid w:val="0"/>
        </w:rPr>
        <w:tab/>
      </w:r>
    </w:p>
    <w:p w:rsidR="00EB734F" w:rsidRPr="00F22D0E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 xml:space="preserve">Snížení základního kapitálu se provede zejména snížením jmenovité hodnoty akcií. Jmenovitá hodnota akcií se v takovém případě snižuje poměrně u všech akcií společnosti, ledaže účelem snížení základního kapitálu je prominout nesplacenou část emisního kursu akcií. Základní kapitál může být snížen i vzetím akcií z oběhu na základě losování, vzetím akcií z oběhu na základě návrhu nebo upuštěním od vydání akcií. </w:t>
      </w:r>
      <w:r w:rsidRPr="00F22D0E">
        <w:rPr>
          <w:snapToGrid w:val="0"/>
          <w:color w:val="000000"/>
        </w:rPr>
        <w:tab/>
      </w:r>
    </w:p>
    <w:p w:rsidR="00EB734F" w:rsidRPr="00F22D0E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 xml:space="preserve">Snížení jmenovité hodnoty akcií se provede výměnou za nové akcie s nižší jmenovitou hodnotou nebo vyznačením nižší jmenovité hodnoty na dosavadní akcii s podpisem jediného člena představenstva. </w:t>
      </w:r>
      <w:r w:rsidRPr="00F22D0E">
        <w:rPr>
          <w:snapToGrid w:val="0"/>
          <w:color w:val="000000"/>
        </w:rPr>
        <w:tab/>
      </w:r>
    </w:p>
    <w:p w:rsidR="00EB734F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 xml:space="preserve">O rozhodnutí o snížení základního kapitálu musí být pořízen notářský zápis. </w:t>
      </w:r>
      <w:r>
        <w:rPr>
          <w:snapToGrid w:val="0"/>
          <w:color w:val="000000"/>
        </w:rPr>
        <w:t>----------------</w:t>
      </w:r>
    </w:p>
    <w:p w:rsidR="00EB734F" w:rsidRPr="00F22D0E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Při snižování základního kapitálu se postupuje podle těchto pravidel:</w:t>
      </w:r>
      <w:r w:rsidRPr="00F22D0E">
        <w:rPr>
          <w:snapToGrid w:val="0"/>
          <w:color w:val="000000"/>
        </w:rPr>
        <w:tab/>
      </w:r>
    </w:p>
    <w:p w:rsidR="00EB734F" w:rsidRPr="001A3D3F" w:rsidRDefault="00EB734F" w:rsidP="00EB734F">
      <w:pPr>
        <w:keepLines/>
        <w:widowControl w:val="0"/>
        <w:numPr>
          <w:ilvl w:val="0"/>
          <w:numId w:val="15"/>
        </w:numPr>
        <w:tabs>
          <w:tab w:val="left" w:pos="900"/>
          <w:tab w:val="right" w:leader="hyphen" w:pos="9072"/>
        </w:tabs>
        <w:spacing w:line="240" w:lineRule="atLeast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představenstvo podá bez zbytečného odkladu návrh na zápis usnesení valné hromady do obchodního rejstříku;</w:t>
      </w:r>
      <w:r w:rsidRPr="00F22D0E">
        <w:rPr>
          <w:snapToGrid w:val="0"/>
          <w:color w:val="000000"/>
        </w:rPr>
        <w:tab/>
      </w:r>
    </w:p>
    <w:p w:rsidR="00EB734F" w:rsidRPr="00F22D0E" w:rsidRDefault="00EB734F" w:rsidP="00EB734F">
      <w:pPr>
        <w:keepLines/>
        <w:widowControl w:val="0"/>
        <w:numPr>
          <w:ilvl w:val="0"/>
          <w:numId w:val="15"/>
        </w:numPr>
        <w:tabs>
          <w:tab w:val="left" w:pos="900"/>
          <w:tab w:val="right" w:leader="hyphen" w:pos="9072"/>
        </w:tabs>
        <w:spacing w:line="240" w:lineRule="atLeast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návrh na zápis usnesení valné hromady může být spojen s návrhem na zápis nové výše základního kapitálu do obchodního rejstříku;</w:t>
      </w:r>
      <w:r w:rsidRPr="00F22D0E">
        <w:rPr>
          <w:snapToGrid w:val="0"/>
          <w:color w:val="000000"/>
        </w:rPr>
        <w:tab/>
      </w:r>
    </w:p>
    <w:p w:rsidR="00EB734F" w:rsidRPr="00F22D0E" w:rsidRDefault="00EB734F" w:rsidP="00EB734F">
      <w:pPr>
        <w:keepLines/>
        <w:widowControl w:val="0"/>
        <w:numPr>
          <w:ilvl w:val="0"/>
          <w:numId w:val="15"/>
        </w:numPr>
        <w:tabs>
          <w:tab w:val="left" w:pos="900"/>
          <w:tab w:val="right" w:leader="hyphen" w:pos="9072"/>
        </w:tabs>
        <w:spacing w:line="240" w:lineRule="atLeast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do třiceti dnů ode dne nabytí účinnosti rozhodnutí valné hromady o snížení základního kapitálu vůči třetím osobám oznámí představenstvo rozhodnutí o snížení základního kapitálu písemně těm známým věřitelům, jejichž pohledávky vůči společnosti vznikly před okamžikem účinnosti rozhodnutí valné hromady, s výzvou pro věřitele, aby přihlásili své pohledávky podle ustanovení § 518 odst. 3 ZOK;</w:t>
      </w:r>
      <w:r w:rsidRPr="00F22D0E">
        <w:rPr>
          <w:snapToGrid w:val="0"/>
          <w:color w:val="000000"/>
        </w:rPr>
        <w:tab/>
      </w:r>
    </w:p>
    <w:p w:rsidR="00EB734F" w:rsidRPr="00F22D0E" w:rsidRDefault="00EB734F" w:rsidP="00EB734F">
      <w:pPr>
        <w:keepLines/>
        <w:widowControl w:val="0"/>
        <w:numPr>
          <w:ilvl w:val="0"/>
          <w:numId w:val="15"/>
        </w:numPr>
        <w:tabs>
          <w:tab w:val="left" w:pos="900"/>
          <w:tab w:val="right" w:leader="hyphen" w:pos="9072"/>
        </w:tabs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rozhodnutí valné hromady o snížení základního kapitálu po jeho zápisu do obchodního rejstříku zveřejní představenstvo nejméně dvakrát za sebou s alespoň třicetidenním odstupem a s výzvou pro věřitele, aby přihlásili své pohledávky podle ustanovení § 518 odst. 3 ZOK;</w:t>
      </w:r>
      <w:r w:rsidRPr="00F22D0E">
        <w:rPr>
          <w:snapToGrid w:val="0"/>
          <w:color w:val="000000"/>
        </w:rPr>
        <w:tab/>
      </w:r>
    </w:p>
    <w:p w:rsidR="00EB734F" w:rsidRPr="006357B5" w:rsidRDefault="00EB734F" w:rsidP="00EB734F">
      <w:pPr>
        <w:numPr>
          <w:ilvl w:val="0"/>
          <w:numId w:val="12"/>
        </w:numPr>
        <w:tabs>
          <w:tab w:val="right" w:leader="hyphen" w:pos="9072"/>
        </w:tabs>
        <w:spacing w:before="120" w:after="200"/>
        <w:jc w:val="both"/>
        <w:rPr>
          <w:snapToGrid w:val="0"/>
          <w:color w:val="000000"/>
        </w:rPr>
      </w:pPr>
      <w:r w:rsidRPr="00F22D0E">
        <w:rPr>
          <w:snapToGrid w:val="0"/>
          <w:color w:val="000000"/>
        </w:rPr>
        <w:t>Ostatní skutečnosti týkající se snížení základního kapitálu těm</w:t>
      </w:r>
      <w:r>
        <w:rPr>
          <w:snapToGrid w:val="0"/>
          <w:color w:val="000000"/>
        </w:rPr>
        <w:t xml:space="preserve">ito stanovami neupravené se </w:t>
      </w:r>
      <w:r w:rsidRPr="0007710B">
        <w:rPr>
          <w:snapToGrid w:val="0"/>
          <w:color w:val="000000"/>
        </w:rPr>
        <w:t xml:space="preserve">řídí příslušnými ustanoveními ZOK. </w:t>
      </w:r>
      <w:r w:rsidRPr="0007710B">
        <w:rPr>
          <w:snapToGrid w:val="0"/>
          <w:color w:val="000000"/>
        </w:rPr>
        <w:tab/>
      </w: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Pr="00F22D0E">
        <w:rPr>
          <w:b/>
          <w:snapToGrid w:val="0"/>
        </w:rPr>
        <w:t>13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F22D0E">
        <w:rPr>
          <w:b/>
        </w:rPr>
        <w:t>Snížení jmenovité hodnoty akcií a zatímních listů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Pokud se snižuje jmenovitá hodnota akcií společnosti, snižuje se poměrně u všech akcií, ledaže účelem snížení základního kapitálu je prominout nesplacenou část emisního kursu akcií. Snížení   jmenovité   hodnoty   listinných   akcií   nebo nesplacených akcií, na které byly vydány zat</w:t>
      </w:r>
      <w:r>
        <w:rPr>
          <w:snapToGrid w:val="0"/>
        </w:rPr>
        <w:t xml:space="preserve">ímní listy, se provede výměnou </w:t>
      </w:r>
      <w:r w:rsidRPr="00F22D0E">
        <w:rPr>
          <w:snapToGrid w:val="0"/>
        </w:rPr>
        <w:t>akcií nebo  zatímních listů  za akcie  nebo zatímní listy s nižší  jmenovitou  hodnotou   nebo  vyznačením  nižší  jmenovité hodnoty na  dosavadní akcii nebo  zatímním listu s  podpisem člena nebo členů  představenstva oprávněných jednat  jménem společnosti. Představenstvo  vyzve  způsobem  určeným  zákonem a těmi</w:t>
      </w:r>
      <w:r>
        <w:rPr>
          <w:snapToGrid w:val="0"/>
        </w:rPr>
        <w:t xml:space="preserve">to stanovami pro svolání valné hromady akcionáře, kteří </w:t>
      </w:r>
      <w:r w:rsidRPr="00F22D0E">
        <w:rPr>
          <w:snapToGrid w:val="0"/>
        </w:rPr>
        <w:t>mají listinné akcie  nebo zatímní listy, aby je předložili ve lhůtě určené rozhodnutím valné hromady za  účelem výměny nebo vyznačení  snížení jejich jmenovité hodnoty.  Pokud akcio</w:t>
      </w:r>
      <w:r>
        <w:rPr>
          <w:snapToGrid w:val="0"/>
        </w:rPr>
        <w:t>nář  ve  stanovené  lhůtě akcie</w:t>
      </w:r>
      <w:r w:rsidRPr="00F22D0E">
        <w:rPr>
          <w:snapToGrid w:val="0"/>
        </w:rPr>
        <w:t xml:space="preserve"> nebo zatímní l</w:t>
      </w:r>
      <w:r>
        <w:rPr>
          <w:snapToGrid w:val="0"/>
        </w:rPr>
        <w:t xml:space="preserve">isty nepředloží, není oprávněn </w:t>
      </w:r>
      <w:r w:rsidRPr="00F22D0E">
        <w:rPr>
          <w:snapToGrid w:val="0"/>
        </w:rPr>
        <w:t>až do jejich předložení vykonávat práva s nimi spojená a představenstvo uplatní postup podle § 537 až 541</w:t>
      </w:r>
      <w:r>
        <w:rPr>
          <w:snapToGrid w:val="0"/>
        </w:rPr>
        <w:t xml:space="preserve"> ZOK. Snížení jmenovité hodnoty</w:t>
      </w:r>
      <w:r w:rsidRPr="00F22D0E">
        <w:rPr>
          <w:snapToGrid w:val="0"/>
        </w:rPr>
        <w:t xml:space="preserve"> zaknihovaných </w:t>
      </w:r>
      <w:r>
        <w:rPr>
          <w:snapToGrid w:val="0"/>
        </w:rPr>
        <w:t xml:space="preserve">akcií se provede změnou zápisu </w:t>
      </w:r>
      <w:r w:rsidRPr="00F22D0E">
        <w:rPr>
          <w:snapToGrid w:val="0"/>
        </w:rPr>
        <w:t>o výši jmenovité hodnoty  akcií v zákonem stanovené evidenci zaknihovaných   cenných   papírů   na  zákl</w:t>
      </w:r>
      <w:r>
        <w:rPr>
          <w:snapToGrid w:val="0"/>
        </w:rPr>
        <w:t>adě  příkazu společnosti. Tento příkaz musí být</w:t>
      </w:r>
      <w:r w:rsidRPr="00F22D0E">
        <w:rPr>
          <w:snapToGrid w:val="0"/>
        </w:rPr>
        <w:t xml:space="preserve"> doložen výpisem z obchodního rejstříku prokazujícím zápis snížen</w:t>
      </w:r>
      <w:r>
        <w:rPr>
          <w:snapToGrid w:val="0"/>
        </w:rPr>
        <w:t xml:space="preserve">í </w:t>
      </w:r>
      <w:r w:rsidRPr="00F22D0E">
        <w:rPr>
          <w:snapToGrid w:val="0"/>
        </w:rPr>
        <w:t>základního kapitálu.</w:t>
      </w:r>
      <w:r w:rsidRPr="00F22D0E">
        <w:rPr>
          <w:snapToGrid w:val="0"/>
        </w:rPr>
        <w:tab/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F22D0E">
        <w:rPr>
          <w:b/>
          <w:snapToGrid w:val="0"/>
        </w:rPr>
        <w:t xml:space="preserve"> 14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F22D0E">
        <w:rPr>
          <w:b/>
        </w:rPr>
        <w:t>Vzetí akcií z oběhu na základě losování</w:t>
      </w:r>
    </w:p>
    <w:p w:rsidR="00EB734F" w:rsidRPr="00F22D0E" w:rsidRDefault="00EB734F" w:rsidP="00EB734F">
      <w:pPr>
        <w:numPr>
          <w:ilvl w:val="0"/>
          <w:numId w:val="14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 xml:space="preserve">Valná hromada může rozhodovat o vzetí akcií z oběhu na základě losování, takové rozhodnutí musí být zveřejněno. </w:t>
      </w:r>
      <w:r w:rsidRPr="00F22D0E">
        <w:rPr>
          <w:snapToGrid w:val="0"/>
        </w:rPr>
        <w:tab/>
      </w:r>
    </w:p>
    <w:p w:rsidR="00EB734F" w:rsidRPr="001A3D3F" w:rsidRDefault="00EB734F" w:rsidP="00EB734F">
      <w:pPr>
        <w:numPr>
          <w:ilvl w:val="0"/>
          <w:numId w:val="14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Průběh a výsledky losování s uvedením čísel vylosovaných akcií musí být osvědčeny notářským zápise</w:t>
      </w:r>
      <w:r>
        <w:rPr>
          <w:snapToGrid w:val="0"/>
        </w:rPr>
        <w:t xml:space="preserve">m. Představenstvo společnosti oznámí výsledky losování způsobem  určeným  </w:t>
      </w:r>
      <w:r w:rsidRPr="00F22D0E">
        <w:rPr>
          <w:snapToGrid w:val="0"/>
        </w:rPr>
        <w:t xml:space="preserve">zákonem  a  stanovami  pro  svolání  valné  hromady. V  tomto  oznámení budou </w:t>
      </w:r>
      <w:r w:rsidRPr="001A3D3F">
        <w:rPr>
          <w:snapToGrid w:val="0"/>
        </w:rPr>
        <w:t xml:space="preserve">obsaženy informace uvedené v § 528 odst. 3 ZOK, zejména čísla vylosovaných akcií a lhůta k jejich předložení.  Za  vylosované  akcie  je  společnost  povinna zaplatit  úplatu přiměřenou jejich ceně. Přiměřenost úplaty se doloží znaleckým posudkem. </w:t>
      </w:r>
      <w:r w:rsidRPr="001A3D3F">
        <w:rPr>
          <w:snapToGrid w:val="0"/>
        </w:rPr>
        <w:tab/>
      </w:r>
    </w:p>
    <w:p w:rsidR="00415A3D" w:rsidRDefault="00EB734F" w:rsidP="00EB734F">
      <w:pPr>
        <w:numPr>
          <w:ilvl w:val="0"/>
          <w:numId w:val="14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V rozhodnutí valné hromady o vzetí akcií z oběhu na základě  losování se upraví blíže způsob losování, zejména se určí místo  a doba  losování a  pověří se  z řad  dozorčí rady  i  akcionářů osoby, které budou na řádný průběh losování dohlížet. Samotné losování provede na základě pověření představenstva jeho člen.</w:t>
      </w:r>
      <w:r w:rsidRPr="00F22D0E">
        <w:rPr>
          <w:snapToGrid w:val="0"/>
        </w:rPr>
        <w:tab/>
      </w:r>
    </w:p>
    <w:p w:rsidR="00892766" w:rsidRPr="00892766" w:rsidRDefault="00892766" w:rsidP="00892766">
      <w:pPr>
        <w:tabs>
          <w:tab w:val="right" w:leader="hyphen" w:pos="9072"/>
        </w:tabs>
        <w:spacing w:before="120"/>
        <w:ind w:left="360"/>
        <w:jc w:val="both"/>
        <w:rPr>
          <w:snapToGrid w:val="0"/>
        </w:rPr>
      </w:pP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F22D0E">
        <w:rPr>
          <w:b/>
          <w:snapToGrid w:val="0"/>
        </w:rPr>
        <w:t xml:space="preserve"> 15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F22D0E">
        <w:rPr>
          <w:b/>
        </w:rPr>
        <w:t>Vzetí akcií z oběhu na základě návrhu smlouvy</w:t>
      </w:r>
    </w:p>
    <w:p w:rsidR="00EB734F" w:rsidRPr="00F22D0E" w:rsidRDefault="00EB734F" w:rsidP="00EB734F">
      <w:pPr>
        <w:numPr>
          <w:ilvl w:val="0"/>
          <w:numId w:val="13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Valná hromada může rozhodovat o vzetí akcií z oběhu za účelem snížení základního kapitálu na základě veřejného návrhu smlouvy o úplatném či bezplatném vzetí akcií z oběhu, a to tak, že bude základní kapitál snížen v rozsahu jmenovitých hodnot akcií,   které  budou  vzaty  z  oběhu,  nebo  bude  snížen o pevnou  částku.</w:t>
      </w:r>
      <w:r w:rsidRPr="00F22D0E">
        <w:rPr>
          <w:snapToGrid w:val="0"/>
        </w:rPr>
        <w:tab/>
      </w:r>
    </w:p>
    <w:p w:rsidR="00EB734F" w:rsidRPr="006357B5" w:rsidRDefault="00EB734F" w:rsidP="00EB734F">
      <w:pPr>
        <w:numPr>
          <w:ilvl w:val="0"/>
          <w:numId w:val="13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>Akcie  lze  vzít  z  oběhu  na  základě veřejného návrhu smlouvy za podmínek upravených blíže v </w:t>
      </w:r>
      <w:proofErr w:type="spellStart"/>
      <w:r w:rsidRPr="00F22D0E">
        <w:rPr>
          <w:snapToGrid w:val="0"/>
        </w:rPr>
        <w:t>ust</w:t>
      </w:r>
      <w:proofErr w:type="spellEnd"/>
      <w:r w:rsidRPr="00F22D0E">
        <w:rPr>
          <w:snapToGrid w:val="0"/>
        </w:rPr>
        <w:t xml:space="preserve">. § 532 a násl. ZOK. </w:t>
      </w:r>
      <w:r w:rsidRPr="00F22D0E">
        <w:rPr>
          <w:snapToGrid w:val="0"/>
        </w:rPr>
        <w:tab/>
      </w:r>
    </w:p>
    <w:p w:rsidR="00EB734F" w:rsidRDefault="00EB734F" w:rsidP="00EB734F">
      <w:pPr>
        <w:tabs>
          <w:tab w:val="right" w:leader="hyphen" w:pos="9072"/>
        </w:tabs>
        <w:spacing w:before="120"/>
        <w:rPr>
          <w:b/>
          <w:snapToGrid w:val="0"/>
        </w:rPr>
      </w:pP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F22D0E">
        <w:rPr>
          <w:b/>
          <w:snapToGrid w:val="0"/>
        </w:rPr>
        <w:t xml:space="preserve"> 16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F22D0E">
        <w:rPr>
          <w:b/>
        </w:rPr>
        <w:t>Upuštění od vydání akcií</w:t>
      </w:r>
    </w:p>
    <w:p w:rsidR="00EB734F" w:rsidRPr="00F22D0E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F22D0E">
        <w:rPr>
          <w:snapToGrid w:val="0"/>
        </w:rPr>
        <w:t xml:space="preserve">Valná  hromada  může  rozhodnout  o  snížení  základního  kapitálu upuštěním od vydání akcií v rozsahu, v jakém jsou upisovatelé v prodlení   se  splacením   jmenovité  hodnoty  akcií, ledaže společnost prodlevšího akcionáře ze společnosti vyloučí. Upuštění  od  vydání  nesplacených  akcií  se  provede způsobem uvedeným v § 536 ZOK. </w:t>
      </w:r>
      <w:r w:rsidRPr="00F22D0E">
        <w:rPr>
          <w:snapToGrid w:val="0"/>
        </w:rPr>
        <w:tab/>
      </w:r>
    </w:p>
    <w:p w:rsidR="00EB734F" w:rsidRPr="00710D7A" w:rsidRDefault="00EB734F" w:rsidP="00EB734F">
      <w:pPr>
        <w:spacing w:before="120" w:line="240" w:lineRule="atLeast"/>
      </w:pPr>
    </w:p>
    <w:p w:rsidR="00EB734F" w:rsidRPr="00710D7A" w:rsidRDefault="00EB734F" w:rsidP="00EB734F">
      <w:pPr>
        <w:pStyle w:val="Nadpis3"/>
        <w:jc w:val="center"/>
        <w:rPr>
          <w:rFonts w:ascii="Times New Roman" w:hAnsi="Times New Roman" w:cs="Times New Roman"/>
          <w:sz w:val="24"/>
        </w:rPr>
      </w:pPr>
      <w:r w:rsidRPr="00710D7A">
        <w:rPr>
          <w:rFonts w:ascii="Times New Roman" w:hAnsi="Times New Roman" w:cs="Times New Roman"/>
          <w:sz w:val="24"/>
        </w:rPr>
        <w:t>IV. AKCIONÁŘI</w:t>
      </w:r>
    </w:p>
    <w:p w:rsidR="00EB734F" w:rsidRPr="0007710B" w:rsidRDefault="00EB734F" w:rsidP="00EB734F">
      <w:pPr>
        <w:spacing w:before="120" w:line="240" w:lineRule="atLeast"/>
        <w:jc w:val="center"/>
        <w:rPr>
          <w:b/>
        </w:rPr>
      </w:pPr>
      <w:r w:rsidRPr="0007710B">
        <w:rPr>
          <w:b/>
        </w:rPr>
        <w:t>§ 17</w:t>
      </w:r>
    </w:p>
    <w:p w:rsidR="00EB734F" w:rsidRPr="0007710B" w:rsidRDefault="00EB734F" w:rsidP="00EB734F">
      <w:pPr>
        <w:pStyle w:val="Nadpis4"/>
        <w:spacing w:before="120" w:line="240" w:lineRule="atLeast"/>
        <w:rPr>
          <w:b/>
          <w:sz w:val="24"/>
        </w:rPr>
      </w:pPr>
      <w:r w:rsidRPr="0007710B">
        <w:rPr>
          <w:b/>
          <w:sz w:val="24"/>
        </w:rPr>
        <w:t>Práva akcionářů</w:t>
      </w:r>
    </w:p>
    <w:p w:rsidR="00EB734F" w:rsidRPr="0007710B" w:rsidRDefault="00EB734F" w:rsidP="00EB734F">
      <w:pPr>
        <w:numPr>
          <w:ilvl w:val="0"/>
          <w:numId w:val="1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7710B">
        <w:rPr>
          <w:snapToGrid w:val="0"/>
        </w:rPr>
        <w:t>Akcionáři vykonávají svá práva týkající se řízení společnosti na valné hromadě. Akcionář je oprávněn účastnit se valné hromady, hlasovat na ní</w:t>
      </w:r>
      <w:r>
        <w:rPr>
          <w:snapToGrid w:val="0"/>
        </w:rPr>
        <w:t xml:space="preserve">, má právo požadovat a dostat </w:t>
      </w:r>
      <w:r w:rsidRPr="0007710B">
        <w:rPr>
          <w:snapToGrid w:val="0"/>
        </w:rPr>
        <w:t>na ní vysvětlení záležitostí týkajících se společnosti, které jsou předmětem jednání valné hromady, a uplatňovat návrhy a protinávrhy. Akcionář je op</w:t>
      </w:r>
      <w:r w:rsidR="00892766">
        <w:rPr>
          <w:snapToGrid w:val="0"/>
        </w:rPr>
        <w:t>rávněn vykonávat svá práva   na</w:t>
      </w:r>
      <w:r w:rsidRPr="0007710B">
        <w:rPr>
          <w:snapToGrid w:val="0"/>
        </w:rPr>
        <w:t xml:space="preserve"> valné   hromadě  prostřednictvím   fyzické  nebo    právnické  osoby  -  zmocněnce  </w:t>
      </w:r>
      <w:r w:rsidR="00892766">
        <w:rPr>
          <w:snapToGrid w:val="0"/>
        </w:rPr>
        <w:t xml:space="preserve"> -  na  základě  plné  moci. </w:t>
      </w:r>
      <w:r w:rsidRPr="0007710B">
        <w:rPr>
          <w:snapToGrid w:val="0"/>
        </w:rPr>
        <w:t>Zmocněnec musí být k účasti na valné hromadě a k jednání i hlasování na ní zmocněn akcionářem písemnou plnou mocí.</w:t>
      </w:r>
      <w:r w:rsidRPr="0007710B">
        <w:rPr>
          <w:snapToGrid w:val="0"/>
        </w:rPr>
        <w:tab/>
      </w:r>
    </w:p>
    <w:p w:rsidR="00EB734F" w:rsidRPr="001A3D3F" w:rsidRDefault="00EB734F" w:rsidP="00EB734F">
      <w:pPr>
        <w:numPr>
          <w:ilvl w:val="0"/>
          <w:numId w:val="1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7710B">
        <w:rPr>
          <w:snapToGrid w:val="0"/>
        </w:rPr>
        <w:t xml:space="preserve">Akcionář má právo na podíl ze zisku společnosti (dividendu), který valná hromada podle výsledku hospodaření společnosti určila k rozdělení. Dividendy společnost vyplatí do tří (3) měsíců od schválení účetní závěrky. Dividenda se vyplácí v penězích. Společnost </w:t>
      </w:r>
      <w:r w:rsidRPr="001A3D3F">
        <w:rPr>
          <w:snapToGrid w:val="0"/>
        </w:rPr>
        <w:t xml:space="preserve">vyplatí dividendu na své náklady a nebezpečí bezhotovostním převodem na účet akcionáře uvedený v seznamu akcionářů. </w:t>
      </w:r>
      <w:r w:rsidRPr="001A3D3F">
        <w:rPr>
          <w:snapToGrid w:val="0"/>
        </w:rPr>
        <w:tab/>
      </w:r>
    </w:p>
    <w:p w:rsidR="00EB734F" w:rsidRPr="0007710B" w:rsidRDefault="00EB734F" w:rsidP="00EB734F">
      <w:pPr>
        <w:numPr>
          <w:ilvl w:val="0"/>
          <w:numId w:val="1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7710B">
        <w:rPr>
          <w:snapToGrid w:val="0"/>
        </w:rPr>
        <w:t>Akcionář není povinen vrátit dividendu přijatou v dobré víře.</w:t>
      </w:r>
      <w:r w:rsidRPr="0007710B">
        <w:rPr>
          <w:snapToGrid w:val="0"/>
        </w:rPr>
        <w:tab/>
      </w:r>
    </w:p>
    <w:p w:rsidR="00EB734F" w:rsidRPr="0007710B" w:rsidRDefault="00EB734F" w:rsidP="00EB734F">
      <w:pPr>
        <w:numPr>
          <w:ilvl w:val="0"/>
          <w:numId w:val="1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7710B">
        <w:rPr>
          <w:snapToGrid w:val="0"/>
        </w:rPr>
        <w:t>Hlasovací právo náležející akcionáři je spojeno s akcií. Na ka</w:t>
      </w:r>
      <w:r w:rsidR="00415A3D">
        <w:rPr>
          <w:snapToGrid w:val="0"/>
        </w:rPr>
        <w:t>ždou akcii o jmenovité hodnotě 2</w:t>
      </w:r>
      <w:r w:rsidRPr="0007710B">
        <w:rPr>
          <w:snapToGrid w:val="0"/>
        </w:rPr>
        <w:t xml:space="preserve">00.000,- Kč (slovy: </w:t>
      </w:r>
      <w:r w:rsidR="00415A3D">
        <w:rPr>
          <w:snapToGrid w:val="0"/>
        </w:rPr>
        <w:t>dvě stě</w:t>
      </w:r>
      <w:r w:rsidRPr="0007710B">
        <w:rPr>
          <w:snapToGrid w:val="0"/>
        </w:rPr>
        <w:t xml:space="preserve"> tisíc korun českých) připadá jeden hlas. Hlasuje se </w:t>
      </w:r>
      <w:r>
        <w:rPr>
          <w:snapToGrid w:val="0"/>
        </w:rPr>
        <w:t>veřejně zvednutím ruky</w:t>
      </w:r>
      <w:r w:rsidRPr="0007710B">
        <w:rPr>
          <w:snapToGrid w:val="0"/>
        </w:rPr>
        <w:t>. ----------------------------------------------------------------------------</w:t>
      </w:r>
      <w:r>
        <w:rPr>
          <w:snapToGrid w:val="0"/>
        </w:rPr>
        <w:t>--</w:t>
      </w:r>
    </w:p>
    <w:p w:rsidR="00EB734F" w:rsidRPr="0007710B" w:rsidRDefault="00EB734F" w:rsidP="00EB734F">
      <w:pPr>
        <w:numPr>
          <w:ilvl w:val="0"/>
          <w:numId w:val="1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7710B">
        <w:rPr>
          <w:snapToGrid w:val="0"/>
        </w:rPr>
        <w:t>Tzv. kvalifikovaní akcionáři, tj. akcionáři, kteří mají akcie, jejichž jmenovitá hodnota dosahuje alespoň 5%  základního   kapitálu    společnosti, mohou požádat:</w:t>
      </w:r>
      <w:r w:rsidRPr="0007710B">
        <w:rPr>
          <w:snapToGrid w:val="0"/>
        </w:rPr>
        <w:tab/>
      </w:r>
    </w:p>
    <w:p w:rsidR="00EB734F" w:rsidRPr="0007710B" w:rsidRDefault="00EB734F" w:rsidP="00EB734F">
      <w:pPr>
        <w:numPr>
          <w:ilvl w:val="0"/>
          <w:numId w:val="17"/>
        </w:numPr>
        <w:tabs>
          <w:tab w:val="clear" w:pos="390"/>
          <w:tab w:val="num" w:pos="750"/>
          <w:tab w:val="right" w:leader="hyphen" w:pos="9072"/>
        </w:tabs>
        <w:spacing w:before="120"/>
        <w:ind w:left="750"/>
        <w:jc w:val="both"/>
        <w:rPr>
          <w:snapToGrid w:val="0"/>
        </w:rPr>
      </w:pPr>
      <w:r w:rsidRPr="0007710B">
        <w:rPr>
          <w:snapToGrid w:val="0"/>
        </w:rPr>
        <w:t>představenstvo o svolání valné hromady k projednání navržených záležitostí,</w:t>
      </w:r>
      <w:r w:rsidRPr="0007710B">
        <w:rPr>
          <w:snapToGrid w:val="0"/>
        </w:rPr>
        <w:tab/>
      </w:r>
    </w:p>
    <w:p w:rsidR="00EB734F" w:rsidRPr="0007710B" w:rsidRDefault="00EB734F" w:rsidP="00EB734F">
      <w:pPr>
        <w:numPr>
          <w:ilvl w:val="0"/>
          <w:numId w:val="17"/>
        </w:numPr>
        <w:tabs>
          <w:tab w:val="clear" w:pos="390"/>
          <w:tab w:val="num" w:pos="750"/>
          <w:tab w:val="right" w:leader="hyphen" w:pos="9072"/>
        </w:tabs>
        <w:spacing w:before="120"/>
        <w:ind w:left="750"/>
        <w:jc w:val="both"/>
        <w:rPr>
          <w:snapToGrid w:val="0"/>
        </w:rPr>
      </w:pPr>
      <w:r w:rsidRPr="0007710B">
        <w:rPr>
          <w:snapToGrid w:val="0"/>
        </w:rPr>
        <w:t>představenstvo o zařazení jimi určené záležitosti na pořad jednání valné hromady,</w:t>
      </w:r>
      <w:r w:rsidRPr="0007710B">
        <w:rPr>
          <w:snapToGrid w:val="0"/>
        </w:rPr>
        <w:tab/>
      </w:r>
    </w:p>
    <w:p w:rsidR="00EB734F" w:rsidRPr="0007710B" w:rsidRDefault="00EB734F" w:rsidP="00EB734F">
      <w:pPr>
        <w:numPr>
          <w:ilvl w:val="0"/>
          <w:numId w:val="17"/>
        </w:numPr>
        <w:tabs>
          <w:tab w:val="clear" w:pos="390"/>
          <w:tab w:val="num" w:pos="750"/>
          <w:tab w:val="right" w:leader="hyphen" w:pos="9072"/>
        </w:tabs>
        <w:spacing w:before="120"/>
        <w:ind w:left="750"/>
        <w:jc w:val="both"/>
        <w:rPr>
          <w:snapToGrid w:val="0"/>
        </w:rPr>
      </w:pPr>
      <w:r w:rsidRPr="0007710B">
        <w:rPr>
          <w:snapToGrid w:val="0"/>
        </w:rPr>
        <w:t>dozorčí radu o přezkoumání výkonu činnosti představenstva v jimi určených záležitostech.</w:t>
      </w:r>
      <w:r w:rsidRPr="0007710B">
        <w:rPr>
          <w:snapToGrid w:val="0"/>
        </w:rPr>
        <w:tab/>
      </w:r>
    </w:p>
    <w:p w:rsidR="00EB734F" w:rsidRPr="0007710B" w:rsidRDefault="00EB734F" w:rsidP="00EB734F">
      <w:pPr>
        <w:pStyle w:val="Nadpis4"/>
        <w:tabs>
          <w:tab w:val="right" w:leader="hyphen" w:pos="9072"/>
        </w:tabs>
        <w:ind w:left="426"/>
        <w:jc w:val="both"/>
        <w:rPr>
          <w:sz w:val="24"/>
        </w:rPr>
      </w:pPr>
      <w:r w:rsidRPr="0007710B">
        <w:rPr>
          <w:sz w:val="24"/>
        </w:rPr>
        <w:t>Žádosti podle tohoto odstavce musí mít písemnou formu a musí s nimi být naloženo způsobem vyplývajícím z obecně závazných právních předpisů a těchto stanov.</w:t>
      </w:r>
      <w:r w:rsidRPr="0007710B">
        <w:rPr>
          <w:sz w:val="24"/>
        </w:rPr>
        <w:tab/>
      </w:r>
    </w:p>
    <w:p w:rsidR="00EB734F" w:rsidRPr="0007710B" w:rsidRDefault="00EB734F" w:rsidP="00EB734F">
      <w:pPr>
        <w:numPr>
          <w:ilvl w:val="0"/>
          <w:numId w:val="1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7710B">
        <w:rPr>
          <w:snapToGrid w:val="0"/>
        </w:rPr>
        <w:t>Společnost vede seznam akcionářů v souladu s obecně závaznými předpisy.</w:t>
      </w:r>
      <w:r w:rsidRPr="0007710B">
        <w:rPr>
          <w:snapToGrid w:val="0"/>
        </w:rPr>
        <w:tab/>
      </w:r>
    </w:p>
    <w:p w:rsidR="00EB734F" w:rsidRPr="0007710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</w:p>
    <w:p w:rsidR="00EB734F" w:rsidRPr="0007710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 18</w:t>
      </w:r>
    </w:p>
    <w:p w:rsidR="00EB734F" w:rsidRPr="0007710B" w:rsidRDefault="00EB734F" w:rsidP="00EB734F">
      <w:pPr>
        <w:numPr>
          <w:ilvl w:val="0"/>
          <w:numId w:val="18"/>
        </w:numPr>
        <w:tabs>
          <w:tab w:val="right" w:leader="hyphen" w:pos="9072"/>
        </w:tabs>
        <w:spacing w:before="120" w:line="240" w:lineRule="atLeast"/>
        <w:jc w:val="both"/>
      </w:pPr>
      <w:r>
        <w:t xml:space="preserve">Po dobu trvání společnosti ani v </w:t>
      </w:r>
      <w:r w:rsidRPr="0007710B">
        <w:t>případě jejího zrušení není  akcioná</w:t>
      </w:r>
      <w:r>
        <w:t xml:space="preserve">ř  oprávněn požadovat  vrácení svých </w:t>
      </w:r>
      <w:r w:rsidRPr="0007710B">
        <w:t>majetkových vkladů.  Za vrácení majetkovýc</w:t>
      </w:r>
      <w:r>
        <w:t xml:space="preserve">h vkladů se nepokládají plnění </w:t>
      </w:r>
      <w:r w:rsidRPr="0007710B">
        <w:t>poskytnutá:</w:t>
      </w:r>
      <w:r w:rsidRPr="0007710B">
        <w:tab/>
      </w:r>
    </w:p>
    <w:p w:rsidR="00EB734F" w:rsidRPr="0007710B" w:rsidRDefault="00EB734F" w:rsidP="00EB734F">
      <w:pPr>
        <w:numPr>
          <w:ilvl w:val="0"/>
          <w:numId w:val="19"/>
        </w:numPr>
        <w:tabs>
          <w:tab w:val="right" w:leader="hyphen" w:pos="9072"/>
        </w:tabs>
        <w:spacing w:before="120" w:line="240" w:lineRule="atLeast"/>
      </w:pPr>
      <w:r w:rsidRPr="0007710B">
        <w:t>v důsledku snížení základního kapitálu,</w:t>
      </w:r>
      <w:r w:rsidRPr="0007710B">
        <w:tab/>
      </w:r>
    </w:p>
    <w:p w:rsidR="00EB734F" w:rsidRPr="0007710B" w:rsidRDefault="00EB734F" w:rsidP="00EB734F">
      <w:pPr>
        <w:numPr>
          <w:ilvl w:val="0"/>
          <w:numId w:val="19"/>
        </w:numPr>
        <w:tabs>
          <w:tab w:val="right" w:leader="hyphen" w:pos="9072"/>
        </w:tabs>
        <w:spacing w:before="120" w:line="240" w:lineRule="atLeast"/>
      </w:pPr>
      <w:r w:rsidRPr="0007710B">
        <w:t>při vrácení zatímního listu nebo jeho prohlášení za neplatný,</w:t>
      </w:r>
      <w:r w:rsidRPr="0007710B">
        <w:tab/>
      </w:r>
    </w:p>
    <w:p w:rsidR="00EB734F" w:rsidRPr="0007710B" w:rsidRDefault="00EB734F" w:rsidP="00EB734F">
      <w:pPr>
        <w:numPr>
          <w:ilvl w:val="0"/>
          <w:numId w:val="19"/>
        </w:numPr>
        <w:tabs>
          <w:tab w:val="right" w:leader="hyphen" w:pos="9072"/>
        </w:tabs>
        <w:spacing w:before="120" w:line="240" w:lineRule="atLeast"/>
      </w:pPr>
      <w:r w:rsidRPr="0007710B">
        <w:t>při rozdělování podílu na likvidačním zůstatku.</w:t>
      </w:r>
      <w:r w:rsidRPr="0007710B">
        <w:tab/>
      </w:r>
    </w:p>
    <w:p w:rsidR="00EB734F" w:rsidRDefault="00EB734F" w:rsidP="00EB734F">
      <w:pPr>
        <w:pStyle w:val="Zkladntext2"/>
        <w:numPr>
          <w:ilvl w:val="0"/>
          <w:numId w:val="18"/>
        </w:numPr>
        <w:tabs>
          <w:tab w:val="right" w:leader="hyphen" w:pos="9072"/>
        </w:tabs>
        <w:spacing w:before="120" w:after="0" w:line="240" w:lineRule="auto"/>
        <w:jc w:val="both"/>
      </w:pPr>
      <w:r>
        <w:t>Po zrušení společnosti likvidací má</w:t>
      </w:r>
      <w:r w:rsidRPr="0007710B">
        <w:t xml:space="preserve"> akcionář právo  na podíl na  likvidačním zůstatku, a  to v poměru  jmenovité hodnoty jeho akcií ke jmenovité hodnotě akcií všech akcionářů.</w:t>
      </w:r>
      <w:r>
        <w:t xml:space="preserve"> --</w:t>
      </w:r>
    </w:p>
    <w:p w:rsidR="00EB734F" w:rsidRDefault="00EB734F" w:rsidP="00EB734F">
      <w:pPr>
        <w:pStyle w:val="Zkladntext2"/>
        <w:numPr>
          <w:ilvl w:val="0"/>
          <w:numId w:val="18"/>
        </w:numPr>
        <w:tabs>
          <w:tab w:val="right" w:leader="hyphen" w:pos="9072"/>
        </w:tabs>
        <w:spacing w:before="120" w:after="0" w:line="240" w:lineRule="auto"/>
        <w:jc w:val="both"/>
      </w:pPr>
      <w:r>
        <w:t xml:space="preserve">Akcionář je povinen </w:t>
      </w:r>
      <w:r w:rsidRPr="0007710B">
        <w:t xml:space="preserve">splatit </w:t>
      </w:r>
      <w:r>
        <w:t xml:space="preserve">společnosti </w:t>
      </w:r>
      <w:r w:rsidRPr="0007710B">
        <w:t>úplnou hodnotu</w:t>
      </w:r>
      <w:r>
        <w:t xml:space="preserve"> emisního kurzu</w:t>
      </w:r>
      <w:r w:rsidRPr="0007710B">
        <w:t xml:space="preserve"> akcií, přičemž za akcionáře se považuje i držitel zatímního listu.</w:t>
      </w:r>
      <w:r w:rsidRPr="0007710B">
        <w:tab/>
      </w:r>
    </w:p>
    <w:p w:rsidR="00EB734F" w:rsidRPr="00710D7A" w:rsidRDefault="00EB734F" w:rsidP="00EB734F">
      <w:pPr>
        <w:tabs>
          <w:tab w:val="right" w:leader="hyphen" w:pos="9072"/>
        </w:tabs>
      </w:pPr>
    </w:p>
    <w:p w:rsidR="00EB734F" w:rsidRPr="00710D7A" w:rsidRDefault="00EB734F" w:rsidP="00EB734F">
      <w:pPr>
        <w:pStyle w:val="Nadpis3"/>
        <w:tabs>
          <w:tab w:val="right" w:leader="hyphen" w:pos="9072"/>
        </w:tabs>
        <w:jc w:val="center"/>
        <w:rPr>
          <w:rFonts w:ascii="Times New Roman" w:hAnsi="Times New Roman" w:cs="Times New Roman"/>
          <w:sz w:val="24"/>
        </w:rPr>
      </w:pPr>
      <w:r w:rsidRPr="00710D7A">
        <w:rPr>
          <w:rFonts w:ascii="Times New Roman" w:hAnsi="Times New Roman" w:cs="Times New Roman"/>
          <w:sz w:val="24"/>
        </w:rPr>
        <w:t>V. ORGANIZACE SPOLEČNOSTI</w:t>
      </w:r>
    </w:p>
    <w:p w:rsidR="00EB734F" w:rsidRPr="00710D7A" w:rsidRDefault="00EB734F" w:rsidP="00EB734F">
      <w:pPr>
        <w:tabs>
          <w:tab w:val="right" w:leader="hyphen" w:pos="9072"/>
        </w:tabs>
        <w:spacing w:before="120" w:line="240" w:lineRule="atLeast"/>
      </w:pPr>
    </w:p>
    <w:p w:rsidR="00EB734F" w:rsidRPr="00E845BB" w:rsidRDefault="00EB734F" w:rsidP="00EB734F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  <w:r w:rsidRPr="00E845BB">
        <w:rPr>
          <w:b/>
        </w:rPr>
        <w:t>§19</w:t>
      </w:r>
    </w:p>
    <w:p w:rsidR="00EB734F" w:rsidRPr="00E845BB" w:rsidRDefault="00EB734F" w:rsidP="00EB734F">
      <w:pPr>
        <w:pStyle w:val="Nadpis4"/>
        <w:tabs>
          <w:tab w:val="right" w:leader="hyphen" w:pos="9072"/>
        </w:tabs>
        <w:spacing w:after="120"/>
        <w:rPr>
          <w:b/>
          <w:sz w:val="24"/>
        </w:rPr>
      </w:pPr>
      <w:r w:rsidRPr="00E845BB">
        <w:rPr>
          <w:b/>
          <w:sz w:val="24"/>
        </w:rPr>
        <w:t>Orgány společnosti</w:t>
      </w:r>
    </w:p>
    <w:p w:rsidR="00EB734F" w:rsidRPr="003C0278" w:rsidRDefault="00EB734F" w:rsidP="00EB734F">
      <w:pPr>
        <w:tabs>
          <w:tab w:val="right" w:leader="hyphen" w:pos="9072"/>
        </w:tabs>
        <w:spacing w:before="120" w:line="240" w:lineRule="atLeast"/>
      </w:pPr>
      <w:r>
        <w:t xml:space="preserve">1. </w:t>
      </w:r>
      <w:r w:rsidRPr="00710D7A">
        <w:t xml:space="preserve">Orgány společnosti jsou: </w:t>
      </w:r>
      <w:r w:rsidRPr="00710D7A">
        <w:tab/>
      </w:r>
    </w:p>
    <w:p w:rsidR="00EB734F" w:rsidRDefault="00EB734F" w:rsidP="00EB734F">
      <w:pPr>
        <w:tabs>
          <w:tab w:val="right" w:leader="hyphen" w:pos="9072"/>
        </w:tabs>
        <w:rPr>
          <w:b/>
          <w:bCs/>
        </w:rPr>
      </w:pPr>
    </w:p>
    <w:p w:rsidR="00EB734F" w:rsidRPr="00710D7A" w:rsidRDefault="00EB734F" w:rsidP="00EB734F">
      <w:pPr>
        <w:tabs>
          <w:tab w:val="right" w:leader="hyphen" w:pos="9072"/>
        </w:tabs>
        <w:rPr>
          <w:b/>
          <w:bCs/>
        </w:rPr>
      </w:pPr>
      <w:r w:rsidRPr="00710D7A">
        <w:rPr>
          <w:b/>
          <w:bCs/>
        </w:rPr>
        <w:t xml:space="preserve">A. valná hromada </w:t>
      </w:r>
      <w:r w:rsidRPr="00710D7A">
        <w:rPr>
          <w:b/>
          <w:bCs/>
        </w:rPr>
        <w:tab/>
      </w:r>
    </w:p>
    <w:p w:rsidR="00EB734F" w:rsidRPr="00710D7A" w:rsidRDefault="00EB734F" w:rsidP="00EB734F">
      <w:pPr>
        <w:tabs>
          <w:tab w:val="right" w:leader="hyphen" w:pos="9072"/>
        </w:tabs>
        <w:rPr>
          <w:b/>
          <w:bCs/>
        </w:rPr>
      </w:pPr>
      <w:r w:rsidRPr="00710D7A">
        <w:rPr>
          <w:b/>
          <w:bCs/>
        </w:rPr>
        <w:t xml:space="preserve">B. představenstvo </w:t>
      </w:r>
      <w:r w:rsidRPr="00710D7A">
        <w:rPr>
          <w:b/>
          <w:bCs/>
        </w:rPr>
        <w:tab/>
      </w:r>
    </w:p>
    <w:p w:rsidR="00EB734F" w:rsidRPr="00710D7A" w:rsidRDefault="00EB734F" w:rsidP="00EB734F">
      <w:pPr>
        <w:tabs>
          <w:tab w:val="right" w:leader="hyphen" w:pos="9072"/>
        </w:tabs>
        <w:rPr>
          <w:b/>
          <w:bCs/>
        </w:rPr>
      </w:pPr>
      <w:r w:rsidRPr="00710D7A">
        <w:rPr>
          <w:b/>
          <w:bCs/>
        </w:rPr>
        <w:t xml:space="preserve">C. dozorčí rada </w:t>
      </w:r>
      <w:r w:rsidRPr="00710D7A">
        <w:rPr>
          <w:b/>
          <w:bCs/>
        </w:rPr>
        <w:tab/>
      </w:r>
    </w:p>
    <w:p w:rsidR="00EB734F" w:rsidRDefault="00EB734F" w:rsidP="00EB734F">
      <w:pPr>
        <w:tabs>
          <w:tab w:val="right" w:leader="hyphen" w:pos="9072"/>
        </w:tabs>
        <w:spacing w:before="120"/>
        <w:rPr>
          <w:snapToGrid w:val="0"/>
        </w:rPr>
      </w:pPr>
    </w:p>
    <w:p w:rsidR="00EB734F" w:rsidRPr="00E845BB" w:rsidRDefault="00EB734F" w:rsidP="00EB734F">
      <w:pPr>
        <w:tabs>
          <w:tab w:val="right" w:leader="hyphen" w:pos="9072"/>
        </w:tabs>
        <w:spacing w:before="120"/>
        <w:rPr>
          <w:snapToGrid w:val="0"/>
        </w:rPr>
      </w:pPr>
      <w:r>
        <w:rPr>
          <w:snapToGrid w:val="0"/>
        </w:rPr>
        <w:t xml:space="preserve">2. </w:t>
      </w:r>
      <w:r w:rsidRPr="00E845BB">
        <w:rPr>
          <w:snapToGrid w:val="0"/>
        </w:rPr>
        <w:t xml:space="preserve">Společnost má dualistický systém vnitřní struktury. </w:t>
      </w:r>
      <w:r w:rsidRPr="00E845BB">
        <w:rPr>
          <w:snapToGrid w:val="0"/>
        </w:rPr>
        <w:tab/>
      </w:r>
    </w:p>
    <w:p w:rsidR="00EB734F" w:rsidRDefault="00EB734F" w:rsidP="00EB734F">
      <w:pPr>
        <w:tabs>
          <w:tab w:val="right" w:leader="hyphen" w:pos="9072"/>
        </w:tabs>
        <w:rPr>
          <w:bCs/>
        </w:rPr>
      </w:pPr>
    </w:p>
    <w:p w:rsidR="00EB734F" w:rsidRDefault="00EB734F" w:rsidP="00EB734F">
      <w:pPr>
        <w:tabs>
          <w:tab w:val="right" w:leader="hyphen" w:pos="9072"/>
        </w:tabs>
        <w:rPr>
          <w:bCs/>
        </w:rPr>
      </w:pPr>
    </w:p>
    <w:p w:rsidR="00EB734F" w:rsidRDefault="00EB734F" w:rsidP="00EB734F">
      <w:pPr>
        <w:pStyle w:val="Nadpis3"/>
        <w:tabs>
          <w:tab w:val="right" w:leader="hyphen" w:pos="9072"/>
        </w:tabs>
        <w:spacing w:before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Valná hromada</w:t>
      </w:r>
    </w:p>
    <w:p w:rsidR="00EB734F" w:rsidRPr="00710D7A" w:rsidRDefault="00EB734F" w:rsidP="00EB734F">
      <w:pPr>
        <w:tabs>
          <w:tab w:val="right" w:leader="hyphen" w:pos="9072"/>
        </w:tabs>
        <w:rPr>
          <w:bCs/>
        </w:rPr>
      </w:pP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990746">
        <w:rPr>
          <w:b/>
          <w:snapToGrid w:val="0"/>
        </w:rPr>
        <w:t xml:space="preserve"> 20</w:t>
      </w: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</w:rPr>
        <w:t>Postavení valné hromady</w:t>
      </w:r>
    </w:p>
    <w:p w:rsidR="00EB734F" w:rsidRDefault="00EB734F" w:rsidP="00EB734F">
      <w:pPr>
        <w:numPr>
          <w:ilvl w:val="0"/>
          <w:numId w:val="20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Nejvyšším orgánem společnosti je valná h</w:t>
      </w:r>
      <w:r>
        <w:rPr>
          <w:snapToGrid w:val="0"/>
        </w:rPr>
        <w:t xml:space="preserve">romada. Akcionář se zúčastňuje </w:t>
      </w:r>
      <w:r w:rsidR="003F7BD2">
        <w:rPr>
          <w:snapToGrid w:val="0"/>
        </w:rPr>
        <w:t xml:space="preserve">valné  </w:t>
      </w:r>
      <w:r w:rsidRPr="00990746">
        <w:rPr>
          <w:snapToGrid w:val="0"/>
        </w:rPr>
        <w:t>hromady  os</w:t>
      </w:r>
      <w:r>
        <w:rPr>
          <w:snapToGrid w:val="0"/>
        </w:rPr>
        <w:t xml:space="preserve">obně  anebo v zastoupení na </w:t>
      </w:r>
      <w:r w:rsidRPr="00990746">
        <w:rPr>
          <w:snapToGrid w:val="0"/>
        </w:rPr>
        <w:t>základě písemné plné moci (dále jen "přítomný akcionář").</w:t>
      </w:r>
      <w:r w:rsidRPr="00990746">
        <w:rPr>
          <w:snapToGrid w:val="0"/>
        </w:rPr>
        <w:tab/>
      </w:r>
    </w:p>
    <w:p w:rsidR="00EB734F" w:rsidRPr="00B455E1" w:rsidRDefault="00EB734F" w:rsidP="00EB734F">
      <w:pPr>
        <w:numPr>
          <w:ilvl w:val="0"/>
          <w:numId w:val="20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B455E1">
        <w:rPr>
          <w:bCs/>
        </w:rPr>
        <w:t>V případě, že společnost má jediného akcionáře, nekoná se valná hromada a její působnost v rozsahu stanoveném v </w:t>
      </w:r>
      <w:r>
        <w:rPr>
          <w:bCs/>
        </w:rPr>
        <w:t xml:space="preserve">§ 21 těchto stanov </w:t>
      </w:r>
      <w:r w:rsidRPr="00B455E1">
        <w:rPr>
          <w:bCs/>
        </w:rPr>
        <w:t xml:space="preserve">vykonává tento jediný akcionář. Rozhodnutí přijaté v působnosti valné hromady doručí akcionář k rukám </w:t>
      </w:r>
      <w:r>
        <w:rPr>
          <w:bCs/>
        </w:rPr>
        <w:t xml:space="preserve">jediného člena představenstva </w:t>
      </w:r>
      <w:r w:rsidRPr="00B455E1">
        <w:rPr>
          <w:bCs/>
        </w:rPr>
        <w:t>nebo na adresu sídla společnosti.</w:t>
      </w:r>
      <w:r w:rsidRPr="00B455E1">
        <w:rPr>
          <w:snapToGrid w:val="0"/>
        </w:rPr>
        <w:tab/>
      </w:r>
    </w:p>
    <w:p w:rsidR="00EB734F" w:rsidRPr="00990746" w:rsidRDefault="00EB734F" w:rsidP="00EB734F">
      <w:pPr>
        <w:tabs>
          <w:tab w:val="right" w:leader="hyphen" w:pos="9072"/>
        </w:tabs>
        <w:spacing w:before="120"/>
        <w:ind w:left="360"/>
        <w:jc w:val="both"/>
        <w:rPr>
          <w:snapToGrid w:val="0"/>
        </w:rPr>
      </w:pP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990746">
        <w:rPr>
          <w:b/>
          <w:snapToGrid w:val="0"/>
        </w:rPr>
        <w:t xml:space="preserve"> 21</w:t>
      </w: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990746">
        <w:rPr>
          <w:b/>
        </w:rPr>
        <w:t>Působnost valné hromady</w:t>
      </w:r>
    </w:p>
    <w:p w:rsidR="00EB734F" w:rsidRPr="00990746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Do působnosti valné hromady patří zejména:</w:t>
      </w:r>
      <w:r w:rsidRPr="00990746">
        <w:rPr>
          <w:snapToGrid w:val="0"/>
        </w:rPr>
        <w:tab/>
      </w:r>
    </w:p>
    <w:p w:rsidR="00EB734F" w:rsidRPr="00EB734F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rozhodnutí o změně stanov, nejde-li o změnu v důsledku zvýšení základního kapitálu představenstvem, nebo o změnu, ke které došlo na základě jiných právních skutečností;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 xml:space="preserve">rozhodnutí o zvýšení nebo snížení základního kapitálu nebo </w:t>
      </w:r>
      <w:r w:rsidRPr="00990746">
        <w:rPr>
          <w:snapToGrid w:val="0"/>
          <w:color w:val="000000"/>
        </w:rPr>
        <w:t>o pověření představenstva ke zvýšení základního kapitálu,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>
        <w:rPr>
          <w:snapToGrid w:val="0"/>
          <w:color w:val="000000"/>
        </w:rPr>
        <w:t>rozhodnutí</w:t>
      </w:r>
      <w:r w:rsidRPr="00990746">
        <w:rPr>
          <w:snapToGrid w:val="0"/>
          <w:color w:val="000000"/>
        </w:rPr>
        <w:t xml:space="preserve"> o možnosti započtení peněžité pohledávky vůči společnosti proti pohledávce na splacení emisního kursu;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>rozhodnutí o vydání vyměnitelných nebo prioritních dluhopisů;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volba a odvolání členů dozorčí rady</w:t>
      </w:r>
      <w:r w:rsidRPr="00990746">
        <w:rPr>
          <w:snapToGrid w:val="0"/>
          <w:color w:val="000000"/>
        </w:rPr>
        <w:t>;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volba a odvolání členů představenstva</w:t>
      </w:r>
      <w:r w:rsidRPr="00990746">
        <w:rPr>
          <w:snapToGrid w:val="0"/>
          <w:color w:val="000000"/>
        </w:rPr>
        <w:t>;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 xml:space="preserve">schválení řádné nebo mimořádné účetní závěrky a konsolidované účetní závěrky a v zákonem stanovených případech i mezitímní účetní závěrky, </w:t>
      </w:r>
      <w:r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>rozhodnutí o rozdělení zisku nebo o úhradě ztráty a stanovení tantiém;</w:t>
      </w:r>
      <w:r w:rsidRPr="00990746">
        <w:rPr>
          <w:snapToGrid w:val="0"/>
          <w:color w:val="000000"/>
        </w:rPr>
        <w:tab/>
      </w:r>
    </w:p>
    <w:p w:rsidR="00EB734F" w:rsidRPr="001A3D3F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</w:rPr>
        <w:t>rozhodování</w:t>
      </w:r>
      <w:r w:rsidR="000C0221">
        <w:rPr>
          <w:snapToGrid w:val="0"/>
        </w:rPr>
        <w:t xml:space="preserve">  </w:t>
      </w:r>
      <w:r w:rsidRPr="00990746">
        <w:rPr>
          <w:snapToGrid w:val="0"/>
        </w:rPr>
        <w:t>o  odměňování  členů  představenstva a dozorčí rady,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>rozhodování o podání žádosti k přijetí účastnických cenných papírů společnosti k obchodování na evropském regulovaném trhu nebo o vyřazení těchto cenných papírů z obchodování na evropském regulovaném trhu;</w:t>
      </w:r>
      <w:r w:rsidRPr="00990746">
        <w:rPr>
          <w:snapToGrid w:val="0"/>
          <w:color w:val="000000"/>
        </w:rPr>
        <w:tab/>
      </w:r>
    </w:p>
    <w:p w:rsidR="00EB734F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 xml:space="preserve">rozhodnutí o zrušení společnosti s likvidací, jmenování a odvolání likvidátora, včetně určení výše jeho odměny, </w:t>
      </w:r>
      <w:r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 xml:space="preserve">schválení návrhu rozdělení likvidačního zůstatku; </w:t>
      </w:r>
      <w:r w:rsidRPr="00990746">
        <w:rPr>
          <w:snapToGrid w:val="0"/>
          <w:color w:val="000000"/>
        </w:rPr>
        <w:tab/>
      </w:r>
    </w:p>
    <w:p w:rsidR="00EB734F" w:rsidRPr="007A5CAB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 xml:space="preserve">rozhodnutí o fúzi, převodu jmění na jednoho akcionáře nebo rozdělení, popřípadě o změně právní formy; 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>schválení převodu nebo zastavení závodu nebo takové jeho části, která by znamenala podstatnou změnu dosavadní struktury závodu nebo podstatnou změnu v předmětu podnikání nebo činnosti společnosti;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>rozhodnutí o převzetí účinků jednání učiněných za společnost před jejím vznikem;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 xml:space="preserve">schválení smlouvy o tichém společenství, jejích změn a jejího zrušení; 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>rozhodnutí o dalších otázkách, které zákon nebo tyto stanovy zahrnují do působnosti valné hromady.</w:t>
      </w:r>
      <w:r w:rsidRPr="00990746">
        <w:rPr>
          <w:snapToGrid w:val="0"/>
          <w:color w:val="000000"/>
        </w:rPr>
        <w:tab/>
      </w:r>
    </w:p>
    <w:p w:rsidR="003F7BD2" w:rsidRPr="00990746" w:rsidRDefault="003F7BD2" w:rsidP="00EB734F">
      <w:pPr>
        <w:tabs>
          <w:tab w:val="right" w:leader="hyphen" w:pos="9072"/>
        </w:tabs>
        <w:spacing w:before="120"/>
        <w:ind w:left="360"/>
        <w:jc w:val="both"/>
        <w:rPr>
          <w:snapToGrid w:val="0"/>
        </w:rPr>
      </w:pP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Pr="00990746">
        <w:rPr>
          <w:b/>
          <w:snapToGrid w:val="0"/>
        </w:rPr>
        <w:t>22</w:t>
      </w:r>
    </w:p>
    <w:p w:rsidR="00EB734F" w:rsidRPr="007A5CA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990746">
        <w:rPr>
          <w:b/>
        </w:rPr>
        <w:t>Svolání valné hromady</w:t>
      </w:r>
    </w:p>
    <w:p w:rsidR="00EB734F" w:rsidRPr="00990746" w:rsidRDefault="00EB734F" w:rsidP="00EB734F">
      <w:pPr>
        <w:pStyle w:val="Zkladntext"/>
        <w:numPr>
          <w:ilvl w:val="0"/>
          <w:numId w:val="23"/>
        </w:numPr>
        <w:tabs>
          <w:tab w:val="right" w:leader="hyphen" w:pos="9072"/>
        </w:tabs>
        <w:spacing w:before="120"/>
      </w:pPr>
      <w:r w:rsidRPr="00990746">
        <w:rPr>
          <w:color w:val="000000"/>
        </w:rPr>
        <w:t>Řádná valná hromada se svolává jednou ročně, a to tak, aby se konala nejpozději do šesti měsíců od posledního dne</w:t>
      </w:r>
      <w:r>
        <w:rPr>
          <w:color w:val="000000"/>
        </w:rPr>
        <w:t xml:space="preserve"> předcházejícího</w:t>
      </w:r>
      <w:r w:rsidRPr="00990746">
        <w:rPr>
          <w:color w:val="000000"/>
        </w:rPr>
        <w:t xml:space="preserve"> účetního období. </w:t>
      </w:r>
      <w:r w:rsidRPr="00990746">
        <w:rPr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3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Valná hromada se koná zpravidla v sídle společnosti, jinak dle rozhodnutí představenstva.</w:t>
      </w:r>
    </w:p>
    <w:p w:rsidR="00EB734F" w:rsidRPr="00990746" w:rsidRDefault="00EB734F" w:rsidP="00EB734F">
      <w:pPr>
        <w:numPr>
          <w:ilvl w:val="0"/>
          <w:numId w:val="23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>
        <w:rPr>
          <w:snapToGrid w:val="0"/>
        </w:rPr>
        <w:t>V</w:t>
      </w:r>
      <w:r w:rsidRPr="00990746">
        <w:rPr>
          <w:snapToGrid w:val="0"/>
        </w:rPr>
        <w:t>alná hromada se</w:t>
      </w:r>
      <w:r>
        <w:rPr>
          <w:snapToGrid w:val="0"/>
        </w:rPr>
        <w:t xml:space="preserve"> </w:t>
      </w:r>
      <w:r w:rsidRPr="00990746">
        <w:rPr>
          <w:snapToGrid w:val="0"/>
        </w:rPr>
        <w:t>koná v pří</w:t>
      </w:r>
      <w:r w:rsidR="00FE33BD">
        <w:rPr>
          <w:snapToGrid w:val="0"/>
        </w:rPr>
        <w:t xml:space="preserve">padech uvedených </w:t>
      </w:r>
      <w:r w:rsidRPr="00990746">
        <w:rPr>
          <w:snapToGrid w:val="0"/>
        </w:rPr>
        <w:t>ve stanovách a v zákoně a svolává ji představenstvo a jiné osoby nebo orgány k tomu ze stanov nebo ze zákona oprávněné písemnou pozvánkou.</w:t>
      </w:r>
      <w:r w:rsidRPr="00990746">
        <w:rPr>
          <w:snapToGrid w:val="0"/>
        </w:rPr>
        <w:tab/>
      </w:r>
    </w:p>
    <w:p w:rsidR="00EB734F" w:rsidRPr="000C0221" w:rsidRDefault="00EB734F" w:rsidP="00EB734F">
      <w:pPr>
        <w:numPr>
          <w:ilvl w:val="0"/>
          <w:numId w:val="23"/>
        </w:numPr>
        <w:tabs>
          <w:tab w:val="right" w:leader="hyphen" w:pos="9072"/>
        </w:tabs>
        <w:spacing w:before="120"/>
        <w:jc w:val="both"/>
        <w:rPr>
          <w:snapToGrid w:val="0"/>
          <w:color w:val="000000"/>
        </w:rPr>
      </w:pPr>
      <w:r w:rsidRPr="00990746">
        <w:rPr>
          <w:snapToGrid w:val="0"/>
          <w:color w:val="000000"/>
        </w:rPr>
        <w:t xml:space="preserve">Valnou hromadu svolává a organizačně zajišťuje její průběh představenstvo. Za podmínek stanovených zákonem může valnou hromadu svolat člen představenstva nebo dozorčí rada či její člen. </w:t>
      </w:r>
      <w:r w:rsidRPr="00990746">
        <w:rPr>
          <w:snapToGrid w:val="0"/>
          <w:color w:val="000000"/>
        </w:rPr>
        <w:tab/>
      </w:r>
    </w:p>
    <w:p w:rsidR="00EB734F" w:rsidRPr="003C0278" w:rsidRDefault="00EB734F" w:rsidP="00EB734F">
      <w:pPr>
        <w:numPr>
          <w:ilvl w:val="0"/>
          <w:numId w:val="23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>Představenstvo společnosti či jiný svolavatel uveřejní pozvánku na valnou hromadu nejméně třicet (30) dnů přede dnem konání valné hromady na internetových stránkách společnosti</w:t>
      </w:r>
      <w:r>
        <w:rPr>
          <w:snapToGrid w:val="0"/>
          <w:color w:val="000000"/>
        </w:rPr>
        <w:t xml:space="preserve"> </w:t>
      </w:r>
      <w:r w:rsidR="000C0221">
        <w:rPr>
          <w:snapToGrid w:val="0"/>
          <w:color w:val="000000"/>
        </w:rPr>
        <w:t>www.</w:t>
      </w:r>
      <w:r w:rsidR="000C0221">
        <w:t>redwave.cz</w:t>
      </w:r>
      <w:r>
        <w:rPr>
          <w:snapToGrid w:val="0"/>
        </w:rPr>
        <w:t xml:space="preserve"> </w:t>
      </w:r>
      <w:r w:rsidRPr="003C0278">
        <w:rPr>
          <w:snapToGrid w:val="0"/>
          <w:color w:val="000000"/>
        </w:rPr>
        <w:t>a současně ji zašle akcionářům vlastnícím akcie na jméno na adresu uvedenou v seznamu akcionářů</w:t>
      </w:r>
      <w:r>
        <w:rPr>
          <w:snapToGrid w:val="0"/>
          <w:color w:val="000000"/>
        </w:rPr>
        <w:t>, případně ji předá osobně do vlastních rukou akcionáře oproti písemnému potvrzení jejího převzetí akcionářem.</w:t>
      </w:r>
      <w:r w:rsidRPr="003C0278">
        <w:rPr>
          <w:snapToGrid w:val="0"/>
          <w:color w:val="000000"/>
        </w:rPr>
        <w:tab/>
      </w:r>
    </w:p>
    <w:p w:rsidR="00EB734F" w:rsidRPr="00990746" w:rsidRDefault="00EB734F" w:rsidP="00EB734F">
      <w:pPr>
        <w:pStyle w:val="Zkladntext"/>
        <w:numPr>
          <w:ilvl w:val="0"/>
          <w:numId w:val="23"/>
        </w:numPr>
        <w:tabs>
          <w:tab w:val="right" w:leader="hyphen" w:pos="9072"/>
        </w:tabs>
        <w:spacing w:before="120"/>
      </w:pPr>
      <w:r w:rsidRPr="00990746">
        <w:t xml:space="preserve">Pozvánka </w:t>
      </w:r>
      <w:r>
        <w:t>na valnou</w:t>
      </w:r>
      <w:r w:rsidRPr="00990746">
        <w:t xml:space="preserve"> hrom</w:t>
      </w:r>
      <w:r>
        <w:t>adu</w:t>
      </w:r>
      <w:r w:rsidRPr="00990746">
        <w:t xml:space="preserve"> obsahuje alespoň:</w:t>
      </w:r>
      <w:r w:rsidRPr="00990746">
        <w:tab/>
      </w:r>
    </w:p>
    <w:p w:rsidR="00EB734F" w:rsidRPr="00990746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>firmu a sídlo společnosti,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>místo, datum a hodinu konání valné hromady,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>označení, zda se svolává řádná nebo náhradní valná hromada,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>pořad jednání valné hromady,</w:t>
      </w:r>
      <w:r w:rsidRPr="00990746">
        <w:rPr>
          <w:snapToGrid w:val="0"/>
        </w:rPr>
        <w:tab/>
      </w:r>
    </w:p>
    <w:p w:rsidR="00EB734F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 xml:space="preserve">rozhodný den k účasti na valné hromadě, pokud byl určen, 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 xml:space="preserve">návrh usnesení valné hromady a jeho zdůvodnění, </w:t>
      </w:r>
      <w:r w:rsidRPr="00990746">
        <w:rPr>
          <w:snapToGrid w:val="0"/>
        </w:rPr>
        <w:tab/>
      </w:r>
    </w:p>
    <w:p w:rsidR="00EB734F" w:rsidRPr="007A5CAB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 xml:space="preserve">lhůtu pro doručení vyjádření akcionáře k pořadu valné hromady, je-li umožněno korespondenční hlasování, </w:t>
      </w:r>
      <w:r w:rsidRPr="00990746">
        <w:rPr>
          <w:snapToGrid w:val="0"/>
        </w:rPr>
        <w:tab/>
      </w:r>
    </w:p>
    <w:p w:rsidR="00EB734F" w:rsidRDefault="00EB734F" w:rsidP="00EB734F">
      <w:pPr>
        <w:numPr>
          <w:ilvl w:val="0"/>
          <w:numId w:val="22"/>
        </w:numPr>
        <w:tabs>
          <w:tab w:val="clear" w:pos="540"/>
          <w:tab w:val="num" w:pos="720"/>
          <w:tab w:val="right" w:leader="hyphen" w:pos="9072"/>
        </w:tabs>
        <w:spacing w:before="120"/>
        <w:ind w:left="720"/>
        <w:jc w:val="both"/>
        <w:rPr>
          <w:snapToGrid w:val="0"/>
        </w:rPr>
      </w:pPr>
      <w:r w:rsidRPr="00990746">
        <w:rPr>
          <w:snapToGrid w:val="0"/>
        </w:rPr>
        <w:t xml:space="preserve">další náležitosti dle ZOK a těchto stanov. </w:t>
      </w:r>
      <w:r w:rsidRPr="00990746">
        <w:rPr>
          <w:snapToGrid w:val="0"/>
        </w:rPr>
        <w:tab/>
      </w:r>
    </w:p>
    <w:p w:rsidR="00EB734F" w:rsidRDefault="00EB734F" w:rsidP="00EB734F">
      <w:pPr>
        <w:tabs>
          <w:tab w:val="right" w:leader="hyphen" w:pos="9072"/>
        </w:tabs>
        <w:contextualSpacing/>
        <w:jc w:val="both"/>
      </w:pPr>
    </w:p>
    <w:p w:rsidR="00EB734F" w:rsidRPr="008E5AFE" w:rsidRDefault="00EB734F" w:rsidP="00EB734F">
      <w:pPr>
        <w:numPr>
          <w:ilvl w:val="0"/>
          <w:numId w:val="23"/>
        </w:numPr>
        <w:tabs>
          <w:tab w:val="right" w:leader="hyphen" w:pos="9072"/>
        </w:tabs>
        <w:contextualSpacing/>
        <w:jc w:val="both"/>
      </w:pPr>
      <w:r w:rsidRPr="005120A6">
        <w:t>Pokud s tím souhlas</w:t>
      </w:r>
      <w:r>
        <w:t xml:space="preserve">í </w:t>
      </w:r>
      <w:r w:rsidRPr="005120A6">
        <w:t>všichni akcionáři, může se valná hromada konat i bez splnění požadavků stanovených zákonem pro svolání valné hromady. ------------------------</w:t>
      </w:r>
      <w:r>
        <w:t>----------</w:t>
      </w:r>
      <w:r w:rsidRPr="008E5AFE">
        <w:rPr>
          <w:snapToGrid w:val="0"/>
        </w:rPr>
        <w:t xml:space="preserve">  </w:t>
      </w:r>
    </w:p>
    <w:p w:rsidR="00EB734F" w:rsidRPr="00990746" w:rsidRDefault="00EB734F" w:rsidP="00EB734F">
      <w:pPr>
        <w:numPr>
          <w:ilvl w:val="0"/>
          <w:numId w:val="23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 xml:space="preserve">Představenstvo svolá valnou hromadu bez zbytečného odkladu poté, co zjistí, že celková ztráta společnosti na základě účetní závěrky dosáhla takové výše, že při jejím uhrazení z disponibilních zdrojů společnosti by neuhrazená ztráta dosáhla poloviny základního kapitálu nebo to lze s ohledem na všechny okolnosti očekávat, nebo z jiného vážného důvodu, a navrhne valné hromadě zrušení společnosti nebo přijetí jiného vhodného opatření. 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tabs>
          <w:tab w:val="right" w:leader="hyphen" w:pos="9072"/>
        </w:tabs>
        <w:spacing w:before="120"/>
        <w:rPr>
          <w:b/>
          <w:snapToGrid w:val="0"/>
        </w:rPr>
      </w:pP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990746">
        <w:rPr>
          <w:b/>
          <w:snapToGrid w:val="0"/>
        </w:rPr>
        <w:t xml:space="preserve"> 23</w:t>
      </w:r>
    </w:p>
    <w:p w:rsidR="00EB734F" w:rsidRPr="007A5CA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990746">
        <w:rPr>
          <w:b/>
        </w:rPr>
        <w:t>Jednání valné hromady</w:t>
      </w:r>
    </w:p>
    <w:p w:rsidR="00EB734F" w:rsidRPr="00990746" w:rsidRDefault="00EB734F" w:rsidP="00EB734F">
      <w:pPr>
        <w:pStyle w:val="Zkladntext"/>
        <w:numPr>
          <w:ilvl w:val="0"/>
          <w:numId w:val="24"/>
        </w:numPr>
        <w:tabs>
          <w:tab w:val="right" w:leader="hyphen" w:pos="9072"/>
        </w:tabs>
        <w:spacing w:before="120"/>
      </w:pPr>
      <w:r w:rsidRPr="00990746">
        <w:t>Akcionáři přítomní na valné hromadě se zapisují do listiny přítomných, jež obsahuje obchodní firmu nebo název a sídlo právnické osoby nebo jméno, příjmení a bydliště fyzické osoby, která je akcionářem, popř. jej</w:t>
      </w:r>
      <w:r>
        <w:t xml:space="preserve">ího zástupce, čísla listinných akcií </w:t>
      </w:r>
      <w:r w:rsidRPr="00990746">
        <w:t>a  jmenovito</w:t>
      </w:r>
      <w:r>
        <w:t xml:space="preserve">u  hodnotu   akcií,  jež  ji </w:t>
      </w:r>
      <w:r w:rsidRPr="00990746">
        <w:t>opravňují</w:t>
      </w:r>
      <w:r w:rsidR="00FE33BD">
        <w:t xml:space="preserve"> k</w:t>
      </w:r>
      <w:r>
        <w:t xml:space="preserve"> hlasování.  Správnost </w:t>
      </w:r>
      <w:r w:rsidR="00FE33BD">
        <w:t xml:space="preserve">listiny </w:t>
      </w:r>
      <w:r w:rsidRPr="00990746">
        <w:t>přítomných    potvrzuje   svým   podpisem  svolavatel nebo jím určená osoba.</w:t>
      </w:r>
      <w:r w:rsidRPr="00990746">
        <w:tab/>
      </w:r>
    </w:p>
    <w:p w:rsidR="00EB734F" w:rsidRPr="00990746" w:rsidRDefault="00EB734F" w:rsidP="00EB734F">
      <w:pPr>
        <w:numPr>
          <w:ilvl w:val="0"/>
          <w:numId w:val="24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Jednání valné hrom</w:t>
      </w:r>
      <w:r>
        <w:rPr>
          <w:snapToGrid w:val="0"/>
        </w:rPr>
        <w:t>ady zahájí člen představenstva,</w:t>
      </w:r>
      <w:r w:rsidRPr="00990746">
        <w:rPr>
          <w:snapToGrid w:val="0"/>
        </w:rPr>
        <w:t xml:space="preserve"> resp. svolavatel. Valná hromada zvolí předsedu, zapisovatele, ověřovatele zápisu a osobu nebo osoby pověřené sčítáním hlasů. Do doby zvolení předsedy řídí jednání valné hromady svolavatel nebo jím určená osoba. Další řízení valné hromady pak přísluší jejímu předsedovi. </w:t>
      </w:r>
      <w:r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4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Zápis o valné hromadě vyhotoví zapisovatel do patnácti (15) dnů od jejího ukončení. Zápis o jednání valné hromady obsahuje: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5"/>
        </w:numPr>
        <w:tabs>
          <w:tab w:val="clear" w:pos="360"/>
          <w:tab w:val="num" w:pos="1080"/>
          <w:tab w:val="right" w:leader="hyphen" w:pos="9072"/>
        </w:tabs>
        <w:spacing w:before="120"/>
        <w:ind w:left="1080"/>
        <w:jc w:val="both"/>
        <w:rPr>
          <w:snapToGrid w:val="0"/>
        </w:rPr>
      </w:pPr>
      <w:r w:rsidRPr="00990746">
        <w:rPr>
          <w:snapToGrid w:val="0"/>
        </w:rPr>
        <w:t>obchodní firmu a sídlo společnosti,</w:t>
      </w:r>
      <w:r w:rsidRPr="00990746">
        <w:rPr>
          <w:snapToGrid w:val="0"/>
        </w:rPr>
        <w:tab/>
      </w:r>
    </w:p>
    <w:p w:rsidR="00EB734F" w:rsidRPr="00EB734F" w:rsidRDefault="00EB734F" w:rsidP="00EB734F">
      <w:pPr>
        <w:numPr>
          <w:ilvl w:val="0"/>
          <w:numId w:val="25"/>
        </w:numPr>
        <w:tabs>
          <w:tab w:val="clear" w:pos="360"/>
          <w:tab w:val="num" w:pos="1080"/>
          <w:tab w:val="right" w:leader="hyphen" w:pos="9072"/>
        </w:tabs>
        <w:spacing w:before="120"/>
        <w:ind w:left="1080"/>
        <w:jc w:val="both"/>
        <w:rPr>
          <w:snapToGrid w:val="0"/>
        </w:rPr>
      </w:pPr>
      <w:r w:rsidRPr="00990746">
        <w:rPr>
          <w:snapToGrid w:val="0"/>
        </w:rPr>
        <w:t xml:space="preserve">místo a </w:t>
      </w:r>
      <w:r>
        <w:rPr>
          <w:snapToGrid w:val="0"/>
        </w:rPr>
        <w:t xml:space="preserve">dobu </w:t>
      </w:r>
      <w:r w:rsidRPr="00990746">
        <w:rPr>
          <w:snapToGrid w:val="0"/>
        </w:rPr>
        <w:t>konání valné hromady,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5"/>
        </w:numPr>
        <w:tabs>
          <w:tab w:val="clear" w:pos="360"/>
          <w:tab w:val="num" w:pos="1080"/>
          <w:tab w:val="right" w:leader="hyphen" w:pos="9072"/>
        </w:tabs>
        <w:spacing w:before="120"/>
        <w:ind w:left="1080"/>
        <w:jc w:val="both"/>
        <w:rPr>
          <w:snapToGrid w:val="0"/>
        </w:rPr>
      </w:pPr>
      <w:r w:rsidRPr="00990746">
        <w:rPr>
          <w:snapToGrid w:val="0"/>
        </w:rPr>
        <w:t xml:space="preserve">jméno předsedy valné hromady, zapisovatele, ověřovatelů zápisu a osob pověřených sčítáním hlasů, 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5"/>
        </w:numPr>
        <w:tabs>
          <w:tab w:val="clear" w:pos="360"/>
          <w:tab w:val="num" w:pos="1080"/>
          <w:tab w:val="right" w:leader="hyphen" w:pos="9072"/>
        </w:tabs>
        <w:spacing w:before="120"/>
        <w:ind w:left="1080"/>
        <w:jc w:val="both"/>
        <w:rPr>
          <w:snapToGrid w:val="0"/>
        </w:rPr>
      </w:pPr>
      <w:r w:rsidRPr="00990746">
        <w:rPr>
          <w:snapToGrid w:val="0"/>
        </w:rPr>
        <w:t>podpis projednávaných bodů programu,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5"/>
        </w:numPr>
        <w:tabs>
          <w:tab w:val="clear" w:pos="360"/>
          <w:tab w:val="num" w:pos="1080"/>
          <w:tab w:val="right" w:leader="hyphen" w:pos="9072"/>
        </w:tabs>
        <w:spacing w:before="120"/>
        <w:ind w:left="1080"/>
        <w:jc w:val="both"/>
        <w:rPr>
          <w:snapToGrid w:val="0"/>
        </w:rPr>
      </w:pPr>
      <w:r>
        <w:rPr>
          <w:snapToGrid w:val="0"/>
        </w:rPr>
        <w:t xml:space="preserve">usnesení </w:t>
      </w:r>
      <w:r w:rsidRPr="00990746">
        <w:rPr>
          <w:snapToGrid w:val="0"/>
        </w:rPr>
        <w:t>valné hromady a výsledek hlasování,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5"/>
        </w:numPr>
        <w:tabs>
          <w:tab w:val="clear" w:pos="360"/>
          <w:tab w:val="num" w:pos="1080"/>
          <w:tab w:val="right" w:leader="hyphen" w:pos="9072"/>
        </w:tabs>
        <w:spacing w:before="120"/>
        <w:ind w:left="1080"/>
        <w:jc w:val="both"/>
        <w:rPr>
          <w:snapToGrid w:val="0"/>
        </w:rPr>
      </w:pPr>
      <w:r w:rsidRPr="00990746">
        <w:rPr>
          <w:snapToGrid w:val="0"/>
        </w:rPr>
        <w:t>obsah protestu akcionáře, člena představenstva, dozorčí rady, jestliže o to protestující požádá.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pStyle w:val="Nadpis4"/>
        <w:tabs>
          <w:tab w:val="right" w:leader="hyphen" w:pos="9072"/>
        </w:tabs>
        <w:spacing w:before="240"/>
        <w:jc w:val="both"/>
        <w:rPr>
          <w:sz w:val="24"/>
        </w:rPr>
      </w:pPr>
      <w:r w:rsidRPr="005120A6">
        <w:rPr>
          <w:sz w:val="24"/>
        </w:rPr>
        <w:t xml:space="preserve">K zápisu se přiloží návrhy a prohlášení, předložená na valné hromadě k projednání a listina přítomných. </w:t>
      </w:r>
      <w:r w:rsidRPr="005120A6">
        <w:rPr>
          <w:sz w:val="24"/>
        </w:rPr>
        <w:tab/>
      </w:r>
    </w:p>
    <w:p w:rsidR="00EB734F" w:rsidRPr="00990746" w:rsidRDefault="00EB734F" w:rsidP="00EB734F">
      <w:pPr>
        <w:numPr>
          <w:ilvl w:val="0"/>
          <w:numId w:val="24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 xml:space="preserve">Kterýkoliv akcionář má právo </w:t>
      </w:r>
      <w:r>
        <w:rPr>
          <w:snapToGrid w:val="0"/>
        </w:rPr>
        <w:t xml:space="preserve">požádat představenstvo o vydání kopie zápisu nebo jeho  části za celou </w:t>
      </w:r>
      <w:r w:rsidRPr="00990746">
        <w:rPr>
          <w:snapToGrid w:val="0"/>
        </w:rPr>
        <w:t>dobu</w:t>
      </w:r>
      <w:r>
        <w:rPr>
          <w:snapToGrid w:val="0"/>
        </w:rPr>
        <w:t xml:space="preserve"> </w:t>
      </w:r>
      <w:r w:rsidRPr="00990746">
        <w:rPr>
          <w:snapToGrid w:val="0"/>
        </w:rPr>
        <w:t>existence společnosti, za p</w:t>
      </w:r>
      <w:r>
        <w:rPr>
          <w:snapToGrid w:val="0"/>
        </w:rPr>
        <w:t>odmínek uvedených v § 425 ZOK.</w:t>
      </w:r>
      <w:r>
        <w:rPr>
          <w:snapToGrid w:val="0"/>
        </w:rPr>
        <w:tab/>
        <w:t xml:space="preserve"> </w:t>
      </w: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snapToGrid w:val="0"/>
        </w:rPr>
      </w:pPr>
    </w:p>
    <w:p w:rsidR="00EB734F" w:rsidRPr="00990746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990746">
        <w:rPr>
          <w:b/>
          <w:snapToGrid w:val="0"/>
        </w:rPr>
        <w:t xml:space="preserve"> 24</w:t>
      </w:r>
    </w:p>
    <w:p w:rsidR="00EB734F" w:rsidRPr="007A5CA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990746">
        <w:rPr>
          <w:b/>
        </w:rPr>
        <w:t>Schopnost valné hromady usnášet se a hlasování na valné hromadě</w:t>
      </w:r>
    </w:p>
    <w:p w:rsidR="00EB734F" w:rsidRPr="00990746" w:rsidRDefault="00EB734F" w:rsidP="00EB734F">
      <w:pPr>
        <w:numPr>
          <w:ilvl w:val="0"/>
          <w:numId w:val="2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 xml:space="preserve">Valná hromada je schopná usnášení, pokud přítomní akcionáři mají akcie, jejichž jmenovitá hodnota přesahuje </w:t>
      </w:r>
      <w:r w:rsidR="000829F5">
        <w:rPr>
          <w:snapToGrid w:val="0"/>
        </w:rPr>
        <w:t>5</w:t>
      </w:r>
      <w:r w:rsidRPr="008E5AFE">
        <w:rPr>
          <w:snapToGrid w:val="0"/>
        </w:rPr>
        <w:t>0 % základního</w:t>
      </w:r>
      <w:r w:rsidRPr="00990746">
        <w:rPr>
          <w:snapToGrid w:val="0"/>
        </w:rPr>
        <w:t xml:space="preserve"> kapitálu společnosti.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Jestliže valná hro</w:t>
      </w:r>
      <w:r>
        <w:rPr>
          <w:snapToGrid w:val="0"/>
        </w:rPr>
        <w:t xml:space="preserve">mada není schopná usnášení, pak </w:t>
      </w:r>
      <w:r w:rsidRPr="00990746">
        <w:rPr>
          <w:snapToGrid w:val="0"/>
        </w:rPr>
        <w:t xml:space="preserve">svolá představenstvo náhradní    valnou  hromadu  novou  pozvánkou  podle pravidel obsažených v § 414 ZOK. Pozvánka na náhradní valnou hromadu se akcionářům zašle nejpozději do patnácti (15) dnů ode dne, na který byla svolána původní valná hromada, a náhradní valná hromada se musí konat do šesti týdnů ode dne, na který byla svolána původní valná hromada. 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Valná hromada hlasuje veřejným hlasováním</w:t>
      </w:r>
      <w:r>
        <w:rPr>
          <w:snapToGrid w:val="0"/>
        </w:rPr>
        <w:t xml:space="preserve"> zvednutím ruky</w:t>
      </w:r>
      <w:r w:rsidRPr="00990746">
        <w:rPr>
          <w:snapToGrid w:val="0"/>
        </w:rPr>
        <w:t xml:space="preserve">. </w:t>
      </w:r>
      <w:r>
        <w:rPr>
          <w:snapToGrid w:val="0"/>
        </w:rPr>
        <w:t xml:space="preserve">Nejprve se na </w:t>
      </w:r>
      <w:r w:rsidRPr="00990746">
        <w:rPr>
          <w:snapToGrid w:val="0"/>
        </w:rPr>
        <w:t xml:space="preserve">valné  hromadě   hlasuje  o  návrhu  svolavatele. 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6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>Valná hromada rozhoduje většinou hlasů přítomných akcionářů, pokud zákon nevyžaduje většinu jinou.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7"/>
        </w:numPr>
        <w:tabs>
          <w:tab w:val="right" w:leader="hyphen" w:pos="9072"/>
        </w:tabs>
        <w:spacing w:before="120"/>
        <w:jc w:val="both"/>
        <w:rPr>
          <w:color w:val="000000"/>
        </w:rPr>
      </w:pPr>
      <w:r w:rsidRPr="00990746">
        <w:rPr>
          <w:color w:val="000000"/>
        </w:rPr>
        <w:t>K rozhodnutím podle § 421 odst. 2 písm. m)</w:t>
      </w:r>
      <w:r>
        <w:rPr>
          <w:color w:val="000000"/>
        </w:rPr>
        <w:t>,</w:t>
      </w:r>
      <w:r w:rsidRPr="00990746">
        <w:rPr>
          <w:color w:val="000000"/>
        </w:rPr>
        <w:t xml:space="preserve"> o změně stanov, k rozhodnutí, v jehož důsledku se mění stanovy, k rozhodnutím o pověření představenstva zvýšit základní kapitál, o možnosti započtení peněžité pohledávky vůči společnosti proti pohledávce na splacení emisního kursu, o vydání vyměnitelných nebo prioritních dluhopisů, o zrušení společnosti s likvidací a k rozhodnutí o rozdělení likvidačního zůstatku se vyžaduje souhlas alespoň dvoutřetinové většiny hlasů přítomných akcionářů. </w:t>
      </w:r>
      <w:r w:rsidRPr="00990746">
        <w:rPr>
          <w:color w:val="000000"/>
        </w:rPr>
        <w:tab/>
      </w:r>
    </w:p>
    <w:p w:rsidR="00EB734F" w:rsidRPr="00990746" w:rsidRDefault="00EB734F" w:rsidP="00EB734F">
      <w:pPr>
        <w:tabs>
          <w:tab w:val="right" w:leader="hyphen" w:pos="9072"/>
        </w:tabs>
        <w:spacing w:before="120"/>
        <w:ind w:left="360"/>
        <w:jc w:val="both"/>
        <w:rPr>
          <w:color w:val="000000"/>
        </w:rPr>
      </w:pPr>
      <w:r w:rsidRPr="00990746">
        <w:rPr>
          <w:color w:val="000000"/>
        </w:rPr>
        <w:t>K roz</w:t>
      </w:r>
      <w:r>
        <w:rPr>
          <w:color w:val="000000"/>
        </w:rPr>
        <w:t xml:space="preserve">hodnutím podle § </w:t>
      </w:r>
      <w:r w:rsidRPr="00990746">
        <w:rPr>
          <w:color w:val="000000"/>
        </w:rPr>
        <w:t>421 odst. 2 písm. m)</w:t>
      </w:r>
      <w:r>
        <w:rPr>
          <w:color w:val="000000"/>
        </w:rPr>
        <w:t>,</w:t>
      </w:r>
      <w:r w:rsidRPr="00990746">
        <w:rPr>
          <w:color w:val="000000"/>
        </w:rPr>
        <w:t xml:space="preserve"> o </w:t>
      </w:r>
      <w:r>
        <w:rPr>
          <w:color w:val="000000"/>
        </w:rPr>
        <w:t xml:space="preserve">změně výše základního kapitálu </w:t>
      </w:r>
      <w:r w:rsidRPr="00990746">
        <w:rPr>
          <w:color w:val="000000"/>
        </w:rPr>
        <w:t xml:space="preserve">se vyžaduje také souhlas alespoň dvoutřetinové většiny hlasů přítomných akcionářů každého druhu akcií, jejichž práva jsou tímto rozhodnutím dotčena. </w:t>
      </w:r>
      <w:r w:rsidRPr="00990746">
        <w:rPr>
          <w:color w:val="000000"/>
        </w:rPr>
        <w:tab/>
      </w:r>
    </w:p>
    <w:p w:rsidR="00EB734F" w:rsidRPr="00990746" w:rsidRDefault="00EB734F" w:rsidP="00EB734F">
      <w:pPr>
        <w:tabs>
          <w:tab w:val="left" w:pos="360"/>
          <w:tab w:val="right" w:leader="hyphen" w:pos="9072"/>
        </w:tabs>
        <w:spacing w:before="120"/>
        <w:ind w:left="360"/>
        <w:jc w:val="both"/>
        <w:rPr>
          <w:color w:val="000000"/>
        </w:rPr>
      </w:pPr>
      <w:r w:rsidRPr="00990746">
        <w:rPr>
          <w:color w:val="000000"/>
        </w:rPr>
        <w:t>K rozhodnutí valné hromady o změně druhu nebo formy akcií, o změně práv spojených s určitým druhem akcií, o omezení převoditelnosti akcií na jméno nebo zaknihovaných akcií a o vyřazení účastnických cenných papírů z obchodování na evropském regulovaném trhu se vyžaduje i souhlas alespoň tří čtvrtin hlasů přítomných akcionářů majících tyto akcie. ------------------------------------------------------------------------------------</w:t>
      </w:r>
    </w:p>
    <w:p w:rsidR="00EB734F" w:rsidRPr="00990746" w:rsidRDefault="00EB734F" w:rsidP="00EB734F">
      <w:pPr>
        <w:tabs>
          <w:tab w:val="left" w:pos="360"/>
          <w:tab w:val="right" w:leader="hyphen" w:pos="9072"/>
        </w:tabs>
        <w:spacing w:before="120"/>
        <w:ind w:left="360"/>
        <w:jc w:val="both"/>
        <w:rPr>
          <w:color w:val="000000"/>
        </w:rPr>
      </w:pPr>
      <w:r w:rsidRPr="00990746">
        <w:rPr>
          <w:color w:val="000000"/>
        </w:rPr>
        <w:t>K rozhodnutí o vyloučení nebo o omezení přednostního práva na získání vyměnitelných a prioritních dluhopisů, o umožnění rozdělení zisku jiným osobám než akcionářům podle § 34 odst. 1 ZOK, o vyloučení nebo o omezení přednostního práva na upisování nových akcií při zvýšení základního kapitálu a o zvýšení základního kapitálu nepeněžitými vklady rozhoduje valná hromada alespoň třemi čtvrtinami hlasů přítomných akcionářů.</w:t>
      </w:r>
      <w:r w:rsidRPr="00990746">
        <w:rPr>
          <w:color w:val="000000"/>
        </w:rPr>
        <w:tab/>
      </w:r>
    </w:p>
    <w:p w:rsidR="00EB734F" w:rsidRPr="00990746" w:rsidRDefault="00EB734F" w:rsidP="00EB734F">
      <w:pPr>
        <w:tabs>
          <w:tab w:val="left" w:pos="360"/>
          <w:tab w:val="right" w:leader="hyphen" w:pos="9072"/>
        </w:tabs>
        <w:spacing w:before="120"/>
        <w:ind w:left="360"/>
        <w:jc w:val="both"/>
        <w:rPr>
          <w:color w:val="000000"/>
        </w:rPr>
      </w:pPr>
      <w:r w:rsidRPr="00990746">
        <w:rPr>
          <w:color w:val="000000"/>
        </w:rPr>
        <w:t>Jestliže společnost vydala více druhů akcií, vyžaduje se k rozhodnutí valné hromady i souhlas alespoň tří čtvrtin hlasů přítomných akcionářů u každého druhu akcií, ledaže se tato rozhodnutí vlastníků těchto druhů akcií nedotknou.</w:t>
      </w:r>
      <w:r w:rsidRPr="00990746">
        <w:rPr>
          <w:color w:val="000000"/>
        </w:rPr>
        <w:tab/>
      </w:r>
    </w:p>
    <w:p w:rsidR="00EB734F" w:rsidRPr="007A5CAB" w:rsidRDefault="00EB734F" w:rsidP="00EB734F">
      <w:pPr>
        <w:tabs>
          <w:tab w:val="right" w:leader="hyphen" w:pos="9072"/>
        </w:tabs>
        <w:spacing w:before="120"/>
        <w:ind w:left="360"/>
        <w:jc w:val="both"/>
        <w:rPr>
          <w:color w:val="000000"/>
        </w:rPr>
      </w:pPr>
      <w:r w:rsidRPr="00990746">
        <w:rPr>
          <w:color w:val="000000"/>
        </w:rPr>
        <w:t>K rozhodnutí valné hromady o spojení akcií se vyžaduje i souhlas všech akcionářů, jejichž akcie se mají spojit.</w:t>
      </w:r>
      <w:r w:rsidRPr="00990746">
        <w:rPr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7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>O rozhodnutích, u kterých tak stanoví zákon, musí být pořízen notářský zápis. Účast notáře je povinno zajistit představenstvo. Notářský zápis o rozhodnutí o změně stanov musí obsahovat též schválený text změny stanov.</w:t>
      </w:r>
      <w:r w:rsidRPr="00990746">
        <w:rPr>
          <w:snapToGrid w:val="0"/>
          <w:color w:val="000000"/>
        </w:rPr>
        <w:tab/>
      </w:r>
    </w:p>
    <w:p w:rsidR="00EB734F" w:rsidRPr="00990746" w:rsidRDefault="00EB734F" w:rsidP="00EB734F">
      <w:pPr>
        <w:numPr>
          <w:ilvl w:val="0"/>
          <w:numId w:val="27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  <w:color w:val="000000"/>
        </w:rPr>
        <w:t xml:space="preserve">Při posuzování schopnosti valné hromady se usnášet se nepřihlíží k akciím nebo vydaným zatímním listům, s nimiž není spojeno hlasovací právo, nebo pokud nelze hlasovací právo podle tohoto zákona nebo stanov vykonávat; to neplatí, nabudou-li dočasně hlasovací práva. </w:t>
      </w:r>
      <w:r w:rsidRPr="00990746">
        <w:rPr>
          <w:snapToGrid w:val="0"/>
          <w:color w:val="000000"/>
        </w:rPr>
        <w:tab/>
        <w:t xml:space="preserve"> </w:t>
      </w:r>
    </w:p>
    <w:p w:rsidR="00EB734F" w:rsidRPr="00990746" w:rsidRDefault="00EB734F" w:rsidP="00EB734F">
      <w:pPr>
        <w:numPr>
          <w:ilvl w:val="0"/>
          <w:numId w:val="27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 xml:space="preserve">Akcionář nemůže vykonávat hlasovací právo v případech dle § 426 ZOK. </w:t>
      </w:r>
      <w:r w:rsidRPr="00990746">
        <w:rPr>
          <w:snapToGrid w:val="0"/>
        </w:rPr>
        <w:tab/>
      </w:r>
    </w:p>
    <w:p w:rsidR="00EB734F" w:rsidRPr="00990746" w:rsidRDefault="00EB734F" w:rsidP="00EB734F">
      <w:pPr>
        <w:numPr>
          <w:ilvl w:val="0"/>
          <w:numId w:val="27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990746">
        <w:rPr>
          <w:snapToGrid w:val="0"/>
        </w:rPr>
        <w:t xml:space="preserve">S každou akcií o jmenovité hodnotě 100.000,- Kč (slovy: jedno sto tisíc korun českých) je spojen jeden hlas. Celkový počet hlasů ve společnosti je </w:t>
      </w:r>
      <w:r>
        <w:rPr>
          <w:snapToGrid w:val="0"/>
        </w:rPr>
        <w:t>dvacet (20)</w:t>
      </w:r>
      <w:r w:rsidRPr="00990746">
        <w:rPr>
          <w:snapToGrid w:val="0"/>
        </w:rPr>
        <w:t>.</w:t>
      </w:r>
      <w:r w:rsidRPr="00990746">
        <w:rPr>
          <w:snapToGrid w:val="0"/>
        </w:rPr>
        <w:tab/>
      </w:r>
    </w:p>
    <w:p w:rsidR="00EB734F" w:rsidRDefault="00EB734F" w:rsidP="00EB734F">
      <w:pPr>
        <w:tabs>
          <w:tab w:val="right" w:leader="hyphen" w:pos="9072"/>
        </w:tabs>
        <w:rPr>
          <w:b/>
          <w:bCs/>
        </w:rPr>
      </w:pPr>
    </w:p>
    <w:p w:rsidR="00EB734F" w:rsidRDefault="00EB734F" w:rsidP="00EB734F">
      <w:pPr>
        <w:tabs>
          <w:tab w:val="right" w:leader="hyphen" w:pos="9072"/>
        </w:tabs>
        <w:rPr>
          <w:b/>
          <w:bCs/>
        </w:rPr>
      </w:pPr>
    </w:p>
    <w:p w:rsidR="00EB734F" w:rsidRDefault="00EB734F" w:rsidP="00EB734F">
      <w:pPr>
        <w:pStyle w:val="Nadpis3"/>
        <w:tabs>
          <w:tab w:val="right" w:leader="hyphen" w:pos="9072"/>
        </w:tabs>
        <w:spacing w:before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Představenstvo</w:t>
      </w:r>
    </w:p>
    <w:p w:rsidR="00EB734F" w:rsidRPr="00990746" w:rsidRDefault="00EB734F" w:rsidP="00EB734F">
      <w:pPr>
        <w:tabs>
          <w:tab w:val="right" w:leader="hyphen" w:pos="9072"/>
        </w:tabs>
        <w:rPr>
          <w:b/>
          <w:bCs/>
        </w:rPr>
      </w:pP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47329B">
        <w:rPr>
          <w:b/>
          <w:snapToGrid w:val="0"/>
        </w:rPr>
        <w:t xml:space="preserve"> 25</w:t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47329B">
        <w:rPr>
          <w:b/>
          <w:snapToGrid w:val="0"/>
        </w:rPr>
        <w:t xml:space="preserve">Postavení představenstva </w:t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>Představenstvo je statutárním orgánem, jenž řídí činnost společnosti a jedná za společnost ve všech věcech.</w:t>
      </w:r>
      <w:r>
        <w:rPr>
          <w:snapToGrid w:val="0"/>
        </w:rPr>
        <w:t xml:space="preserve"> Představenstvu přísluší obchodní vedení společnosti.</w:t>
      </w:r>
      <w:r w:rsidRPr="0047329B">
        <w:rPr>
          <w:snapToGrid w:val="0"/>
        </w:rPr>
        <w:t xml:space="preserve"> Představenstvo rozhoduje o všech záležitostech společnosti, pokud nejsou vyhrazeny zákonem nebo stanovami do působnosti valné hromady či jiných orgánů společnosti.</w:t>
      </w:r>
      <w:r w:rsidRPr="0047329B">
        <w:rPr>
          <w:snapToGrid w:val="0"/>
        </w:rPr>
        <w:tab/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47329B">
        <w:rPr>
          <w:b/>
          <w:snapToGrid w:val="0"/>
        </w:rPr>
        <w:t xml:space="preserve"> 26</w:t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47329B">
        <w:rPr>
          <w:b/>
          <w:snapToGrid w:val="0"/>
        </w:rPr>
        <w:t xml:space="preserve">Člen představenstva </w:t>
      </w:r>
    </w:p>
    <w:p w:rsidR="00EB734F" w:rsidRPr="0047329B" w:rsidRDefault="00EB734F" w:rsidP="00EB734F">
      <w:pPr>
        <w:numPr>
          <w:ilvl w:val="0"/>
          <w:numId w:val="2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 xml:space="preserve">Představenstvo má jednoho člena, kterého volí a odvolává valná hromada. Člen představenstva je volen na dobu pěti (5) let. Výkon funkce člena představenstva je nezastupitelný. </w:t>
      </w:r>
      <w:r w:rsidRPr="0047329B">
        <w:rPr>
          <w:snapToGrid w:val="0"/>
        </w:rPr>
        <w:tab/>
      </w:r>
    </w:p>
    <w:p w:rsidR="00EB734F" w:rsidRPr="0047329B" w:rsidRDefault="00EB734F" w:rsidP="00EB734F">
      <w:pPr>
        <w:numPr>
          <w:ilvl w:val="0"/>
          <w:numId w:val="2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>Člen představenstva může jmenovat náhradní</w:t>
      </w:r>
      <w:r>
        <w:rPr>
          <w:snapToGrid w:val="0"/>
        </w:rPr>
        <w:t>ho člena</w:t>
      </w:r>
      <w:r w:rsidRPr="0047329B">
        <w:rPr>
          <w:snapToGrid w:val="0"/>
        </w:rPr>
        <w:t xml:space="preserve"> do příštího zasedání valné hromady.</w:t>
      </w:r>
    </w:p>
    <w:p w:rsidR="00EB734F" w:rsidRPr="0047329B" w:rsidRDefault="00EB734F" w:rsidP="00EB734F">
      <w:pPr>
        <w:numPr>
          <w:ilvl w:val="0"/>
          <w:numId w:val="2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 xml:space="preserve">O všech rozhodnutích představenstva se sepíše zápis, který podepisuje jediný člen představenstva. </w:t>
      </w:r>
      <w:r w:rsidRPr="0047329B">
        <w:rPr>
          <w:snapToGrid w:val="0"/>
        </w:rPr>
        <w:tab/>
      </w:r>
    </w:p>
    <w:p w:rsidR="00EB734F" w:rsidRDefault="00EB734F" w:rsidP="00EB734F">
      <w:pPr>
        <w:numPr>
          <w:ilvl w:val="0"/>
          <w:numId w:val="28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>Člen představenstva je oprávněn ze své funkce odstoupit, je však povinen to oznámit valné hromadě. Výkon jeho funkce končí uplynutím jednoho měsíce od tohoto oznámení, neschválí-li valná hromada jiný okamžik zániku funkce. Má-li společnost jediného</w:t>
      </w:r>
      <w:r w:rsidRPr="00EB734F">
        <w:rPr>
          <w:snapToGrid w:val="0"/>
        </w:rPr>
        <w:t xml:space="preserve"> akcionáře, skončí funkce uplynutím jednoho měsíce od doručení oznámení o odstoupení jedinému akcionáři, není-li dohodnut jiný okamžik zániku funkce. </w:t>
      </w:r>
      <w:r w:rsidRPr="00EB734F">
        <w:rPr>
          <w:snapToGrid w:val="0"/>
        </w:rPr>
        <w:tab/>
      </w:r>
    </w:p>
    <w:p w:rsidR="00570B17" w:rsidRPr="00570B17" w:rsidRDefault="00570B17" w:rsidP="00570B17">
      <w:pPr>
        <w:tabs>
          <w:tab w:val="right" w:leader="hyphen" w:pos="9072"/>
        </w:tabs>
        <w:spacing w:before="120"/>
        <w:ind w:left="360"/>
        <w:jc w:val="both"/>
        <w:rPr>
          <w:snapToGrid w:val="0"/>
        </w:rPr>
      </w:pP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47329B">
        <w:rPr>
          <w:b/>
          <w:snapToGrid w:val="0"/>
        </w:rPr>
        <w:t xml:space="preserve"> 27</w:t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47329B">
        <w:rPr>
          <w:b/>
        </w:rPr>
        <w:t>Působnost představenstva</w:t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 xml:space="preserve">Představenstvu přísluší: </w:t>
      </w:r>
      <w:r w:rsidRPr="0047329B">
        <w:rPr>
          <w:snapToGrid w:val="0"/>
        </w:rPr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</w:pPr>
      <w:r w:rsidRPr="0047329B">
        <w:t>zabezpečovat obchodní vedení společnosti,</w:t>
      </w:r>
      <w:r w:rsidRPr="0047329B"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</w:pPr>
      <w:r w:rsidRPr="0047329B">
        <w:t>svolávat valnou hromadu a vykonávat její usnesení,</w:t>
      </w:r>
      <w:r w:rsidRPr="0047329B"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</w:pPr>
      <w:r w:rsidRPr="0047329B">
        <w:t>zabezpečovat řádné vedení účetnictví, organizovat vypracování účetní závěrky,</w:t>
      </w:r>
      <w:r w:rsidRPr="0047329B"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</w:pPr>
      <w:r>
        <w:t xml:space="preserve">vymezovat </w:t>
      </w:r>
      <w:r w:rsidRPr="0047329B">
        <w:t xml:space="preserve">předmět obchodního tajemství </w:t>
      </w:r>
      <w:r w:rsidRPr="0047329B">
        <w:tab/>
      </w:r>
    </w:p>
    <w:p w:rsidR="00EB734F" w:rsidRDefault="00EB734F" w:rsidP="00EB734F">
      <w:pPr>
        <w:numPr>
          <w:ilvl w:val="0"/>
          <w:numId w:val="30"/>
        </w:numPr>
        <w:tabs>
          <w:tab w:val="right" w:leader="hyphen" w:pos="9072"/>
        </w:tabs>
      </w:pPr>
      <w:r w:rsidRPr="0047329B">
        <w:t>předkládat valné hromadě</w:t>
      </w:r>
      <w:r>
        <w:t xml:space="preserve"> návrhy usnesení</w:t>
      </w:r>
      <w:r w:rsidRPr="0047329B">
        <w:tab/>
      </w:r>
    </w:p>
    <w:p w:rsidR="00EB734F" w:rsidRPr="004862C2" w:rsidRDefault="00EB734F" w:rsidP="00EB734F">
      <w:pPr>
        <w:numPr>
          <w:ilvl w:val="0"/>
          <w:numId w:val="30"/>
        </w:numPr>
        <w:tabs>
          <w:tab w:val="right" w:leader="hyphen" w:pos="9072"/>
        </w:tabs>
        <w:jc w:val="both"/>
      </w:pPr>
      <w:r>
        <w:t xml:space="preserve">předkládat valné hromadě zprávu o </w:t>
      </w:r>
      <w:r w:rsidRPr="004862C2">
        <w:t>podn</w:t>
      </w:r>
      <w:r>
        <w:t xml:space="preserve">ikatelské činnosti společnosti a o stavu </w:t>
      </w:r>
      <w:r w:rsidRPr="004862C2">
        <w:t>jejího majetku, a to jednou ročně,</w:t>
      </w:r>
      <w:r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</w:pPr>
      <w:r w:rsidRPr="0047329B">
        <w:t>předkládat dozorčí radě:</w:t>
      </w:r>
      <w:r w:rsidRPr="0047329B">
        <w:tab/>
      </w:r>
    </w:p>
    <w:p w:rsidR="00EB734F" w:rsidRPr="0047329B" w:rsidRDefault="00EB734F" w:rsidP="00EB734F">
      <w:pPr>
        <w:numPr>
          <w:ilvl w:val="0"/>
          <w:numId w:val="11"/>
        </w:numPr>
        <w:tabs>
          <w:tab w:val="right" w:leader="hyphen" w:pos="9072"/>
        </w:tabs>
        <w:jc w:val="both"/>
      </w:pPr>
      <w:r w:rsidRPr="0047329B">
        <w:t xml:space="preserve">k projednání podnikatelské záměry společnosti včetně finančních plánů, rozpočtů, organizační struktury a jejich změn, </w:t>
      </w:r>
      <w:r w:rsidRPr="0047329B">
        <w:tab/>
      </w:r>
    </w:p>
    <w:p w:rsidR="00EB734F" w:rsidRPr="0047329B" w:rsidRDefault="00EB734F" w:rsidP="00EB734F">
      <w:pPr>
        <w:numPr>
          <w:ilvl w:val="0"/>
          <w:numId w:val="11"/>
        </w:numPr>
        <w:tabs>
          <w:tab w:val="right" w:leader="hyphen" w:pos="9072"/>
        </w:tabs>
        <w:jc w:val="both"/>
      </w:pPr>
      <w:r w:rsidRPr="0047329B">
        <w:t>k  přezkoumání účetní  závěrku, návrh  na rozdělení  zisku nebo úhrady ztráty a stanovení tantiém,</w:t>
      </w:r>
      <w:r w:rsidRPr="0047329B">
        <w:tab/>
      </w:r>
    </w:p>
    <w:p w:rsidR="00EB734F" w:rsidRPr="0047329B" w:rsidRDefault="00EB734F" w:rsidP="00EB734F">
      <w:pPr>
        <w:numPr>
          <w:ilvl w:val="0"/>
          <w:numId w:val="11"/>
        </w:numPr>
        <w:tabs>
          <w:tab w:val="right" w:leader="hyphen" w:pos="9072"/>
        </w:tabs>
      </w:pPr>
      <w:r w:rsidRPr="0047329B">
        <w:t>k vyjádření zprávu o podnikatelské činnosti společnosti a stavu jejího majetku.</w:t>
      </w:r>
      <w:r w:rsidRPr="0047329B"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  <w:jc w:val="both"/>
        <w:rPr>
          <w:snapToGrid w:val="0"/>
        </w:rPr>
      </w:pPr>
      <w:r w:rsidRPr="0047329B">
        <w:rPr>
          <w:snapToGrid w:val="0"/>
        </w:rPr>
        <w:t>uzavírat smlouvy o nákupu a prodeji nemovitého majetku,</w:t>
      </w:r>
      <w:r w:rsidRPr="0047329B">
        <w:rPr>
          <w:snapToGrid w:val="0"/>
        </w:rPr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  <w:jc w:val="both"/>
        <w:rPr>
          <w:snapToGrid w:val="0"/>
        </w:rPr>
      </w:pPr>
      <w:r w:rsidRPr="0047329B">
        <w:rPr>
          <w:snapToGrid w:val="0"/>
        </w:rPr>
        <w:t>vykonávat zaměstnavatelská práva,</w:t>
      </w:r>
      <w:r w:rsidRPr="0047329B">
        <w:rPr>
          <w:snapToGrid w:val="0"/>
        </w:rPr>
        <w:tab/>
      </w:r>
    </w:p>
    <w:p w:rsidR="00EB734F" w:rsidRPr="0047329B" w:rsidRDefault="00EB734F" w:rsidP="00EB734F">
      <w:pPr>
        <w:numPr>
          <w:ilvl w:val="0"/>
          <w:numId w:val="30"/>
        </w:numPr>
        <w:tabs>
          <w:tab w:val="right" w:leader="hyphen" w:pos="9072"/>
        </w:tabs>
        <w:jc w:val="both"/>
        <w:rPr>
          <w:snapToGrid w:val="0"/>
        </w:rPr>
      </w:pPr>
      <w:r w:rsidRPr="0047329B">
        <w:rPr>
          <w:snapToGrid w:val="0"/>
        </w:rPr>
        <w:t>jmenovat ředitele a stanovit jeho působnost,</w:t>
      </w:r>
      <w:r w:rsidRPr="0047329B">
        <w:rPr>
          <w:snapToGrid w:val="0"/>
        </w:rPr>
        <w:tab/>
      </w:r>
    </w:p>
    <w:p w:rsidR="00EB734F" w:rsidRPr="008E5AFE" w:rsidRDefault="00EB734F" w:rsidP="00EB734F">
      <w:pPr>
        <w:numPr>
          <w:ilvl w:val="0"/>
          <w:numId w:val="30"/>
        </w:numPr>
        <w:tabs>
          <w:tab w:val="right" w:leader="hyphen" w:pos="9072"/>
        </w:tabs>
        <w:jc w:val="both"/>
        <w:rPr>
          <w:snapToGrid w:val="0"/>
        </w:rPr>
      </w:pPr>
      <w:r>
        <w:rPr>
          <w:snapToGrid w:val="0"/>
        </w:rPr>
        <w:t>uzavírat úvěrové smlouvy.</w:t>
      </w:r>
      <w:r w:rsidRPr="0047329B">
        <w:rPr>
          <w:snapToGrid w:val="0"/>
        </w:rPr>
        <w:tab/>
      </w: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47329B">
        <w:rPr>
          <w:b/>
          <w:snapToGrid w:val="0"/>
        </w:rPr>
        <w:t xml:space="preserve"> 28</w:t>
      </w:r>
    </w:p>
    <w:p w:rsidR="00EB734F" w:rsidRPr="0047329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</w:rPr>
        <w:t>Povinnosti člena</w:t>
      </w:r>
      <w:r w:rsidRPr="0047329B">
        <w:rPr>
          <w:b/>
        </w:rPr>
        <w:t xml:space="preserve"> představenstva</w:t>
      </w:r>
    </w:p>
    <w:p w:rsidR="00EB734F" w:rsidRPr="0047329B" w:rsidRDefault="003C57B3" w:rsidP="00EB734F">
      <w:pPr>
        <w:numPr>
          <w:ilvl w:val="0"/>
          <w:numId w:val="29"/>
        </w:numPr>
        <w:tabs>
          <w:tab w:val="right" w:leader="hyphen" w:pos="9072"/>
        </w:tabs>
        <w:spacing w:before="120" w:line="240" w:lineRule="atLeast"/>
        <w:jc w:val="both"/>
      </w:pPr>
      <w:r>
        <w:t>Člen</w:t>
      </w:r>
      <w:r w:rsidR="00236DDC">
        <w:t xml:space="preserve"> představenstva</w:t>
      </w:r>
      <w:r w:rsidR="00EB734F" w:rsidRPr="0047329B">
        <w:t xml:space="preserve"> je  povinen  vykonávat  svoji působnost s péčí řádného hospodáře</w:t>
      </w:r>
      <w:r w:rsidR="00EB734F">
        <w:t xml:space="preserve"> a zachovávat </w:t>
      </w:r>
      <w:r w:rsidR="00EB734F" w:rsidRPr="0047329B">
        <w:t>mlčenlivost o důvěrných inform</w:t>
      </w:r>
      <w:r w:rsidR="00EB734F">
        <w:t xml:space="preserve">acích a skutečnostech, jejichž </w:t>
      </w:r>
      <w:r w:rsidR="00EB734F" w:rsidRPr="0047329B">
        <w:t xml:space="preserve">prozrazení třetím osobám by mohlo  společnosti  způsobit  škodu. Osoba, která porušila povinnost péče řádného hospodáře, vydá obchodní korporaci prospěch, který v souvislosti s takovým jednáním získala. Není-li vydání prospěchu možné, nahradí ho v penězích. </w:t>
      </w:r>
      <w:r w:rsidR="00EB734F" w:rsidRPr="0047329B">
        <w:tab/>
        <w:t xml:space="preserve"> </w:t>
      </w:r>
    </w:p>
    <w:p w:rsidR="00EB734F" w:rsidRPr="0047329B" w:rsidRDefault="00EB734F" w:rsidP="00EB734F">
      <w:pPr>
        <w:numPr>
          <w:ilvl w:val="0"/>
          <w:numId w:val="29"/>
        </w:numPr>
        <w:tabs>
          <w:tab w:val="right" w:leader="hyphen" w:pos="9072"/>
        </w:tabs>
        <w:spacing w:before="120" w:line="240" w:lineRule="atLeast"/>
        <w:jc w:val="both"/>
      </w:pPr>
      <w:r w:rsidRPr="0047329B">
        <w:t>Pr</w:t>
      </w:r>
      <w:r>
        <w:t>o člena</w:t>
      </w:r>
      <w:r w:rsidRPr="0047329B">
        <w:t xml:space="preserve"> představenstva platí zákaz konkurence, a to v rozsahu dle § 441 a násl. ZOK. </w:t>
      </w:r>
      <w:r w:rsidRPr="0047329B">
        <w:tab/>
        <w:t xml:space="preserve"> </w:t>
      </w:r>
    </w:p>
    <w:p w:rsidR="00EB734F" w:rsidRPr="0047329B" w:rsidRDefault="00EB734F" w:rsidP="00EB734F">
      <w:pPr>
        <w:numPr>
          <w:ilvl w:val="0"/>
          <w:numId w:val="29"/>
        </w:numPr>
        <w:tabs>
          <w:tab w:val="right" w:leader="hyphen" w:pos="9072"/>
        </w:tabs>
        <w:spacing w:before="120" w:line="240" w:lineRule="atLeast"/>
        <w:jc w:val="both"/>
      </w:pPr>
      <w:r>
        <w:rPr>
          <w:snapToGrid w:val="0"/>
        </w:rPr>
        <w:t>Člen představenstva odpovídá</w:t>
      </w:r>
      <w:r w:rsidRPr="0047329B">
        <w:rPr>
          <w:snapToGrid w:val="0"/>
        </w:rPr>
        <w:t xml:space="preserve"> společnosti za případnou škodu způsobenou zaviněným porušením je</w:t>
      </w:r>
      <w:r>
        <w:rPr>
          <w:snapToGrid w:val="0"/>
        </w:rPr>
        <w:t xml:space="preserve">ho </w:t>
      </w:r>
      <w:r w:rsidRPr="0047329B">
        <w:rPr>
          <w:snapToGrid w:val="0"/>
        </w:rPr>
        <w:t>povinností.</w:t>
      </w:r>
      <w:r w:rsidRPr="0047329B">
        <w:rPr>
          <w:snapToGrid w:val="0"/>
        </w:rPr>
        <w:tab/>
      </w:r>
    </w:p>
    <w:p w:rsidR="000829F5" w:rsidRDefault="00EB734F" w:rsidP="000829F5">
      <w:pPr>
        <w:numPr>
          <w:ilvl w:val="0"/>
          <w:numId w:val="29"/>
        </w:numPr>
        <w:tabs>
          <w:tab w:val="right" w:leader="hyphen" w:pos="9072"/>
        </w:tabs>
        <w:spacing w:before="120" w:line="240" w:lineRule="atLeast"/>
        <w:jc w:val="both"/>
      </w:pPr>
      <w:r w:rsidRPr="0047329B">
        <w:rPr>
          <w:snapToGrid w:val="0"/>
        </w:rPr>
        <w:t xml:space="preserve">Rozhodnutí valné hromady může omezit právo představenstva k zastupování společnosti. Toto omezení však není </w:t>
      </w:r>
      <w:r>
        <w:rPr>
          <w:snapToGrid w:val="0"/>
        </w:rPr>
        <w:t xml:space="preserve">účinné vůči třetím </w:t>
      </w:r>
      <w:r w:rsidRPr="0047329B">
        <w:rPr>
          <w:snapToGrid w:val="0"/>
        </w:rPr>
        <w:t>o</w:t>
      </w:r>
      <w:r>
        <w:rPr>
          <w:snapToGrid w:val="0"/>
        </w:rPr>
        <w:t xml:space="preserve">sobám. Za škodu </w:t>
      </w:r>
      <w:r w:rsidRPr="0047329B">
        <w:rPr>
          <w:snapToGrid w:val="0"/>
        </w:rPr>
        <w:t>způsobenou zaviněným    překročením rozsahu svého oprávnění odpovíd</w:t>
      </w:r>
      <w:r>
        <w:rPr>
          <w:snapToGrid w:val="0"/>
        </w:rPr>
        <w:t>á člen</w:t>
      </w:r>
      <w:r w:rsidRPr="0047329B">
        <w:rPr>
          <w:snapToGrid w:val="0"/>
        </w:rPr>
        <w:t xml:space="preserve"> představenstva vůči společnosti. </w:t>
      </w:r>
      <w:r w:rsidRPr="0047329B">
        <w:rPr>
          <w:snapToGrid w:val="0"/>
        </w:rPr>
        <w:tab/>
      </w:r>
    </w:p>
    <w:p w:rsidR="00570B17" w:rsidRDefault="00570B17" w:rsidP="00570B17">
      <w:pPr>
        <w:tabs>
          <w:tab w:val="right" w:leader="hyphen" w:pos="9072"/>
        </w:tabs>
        <w:spacing w:before="120" w:line="240" w:lineRule="atLeast"/>
        <w:ind w:left="360"/>
        <w:jc w:val="both"/>
      </w:pPr>
    </w:p>
    <w:p w:rsidR="00570B17" w:rsidRDefault="00570B17" w:rsidP="00570B17">
      <w:pPr>
        <w:tabs>
          <w:tab w:val="right" w:leader="hyphen" w:pos="9072"/>
        </w:tabs>
        <w:spacing w:before="120" w:line="240" w:lineRule="atLeast"/>
        <w:ind w:left="360"/>
        <w:jc w:val="both"/>
      </w:pPr>
    </w:p>
    <w:p w:rsidR="00570B17" w:rsidRDefault="00570B17" w:rsidP="00570B17">
      <w:pPr>
        <w:tabs>
          <w:tab w:val="right" w:leader="hyphen" w:pos="9072"/>
        </w:tabs>
        <w:spacing w:before="120" w:line="240" w:lineRule="atLeast"/>
        <w:ind w:left="360"/>
        <w:jc w:val="both"/>
      </w:pPr>
    </w:p>
    <w:p w:rsidR="00570B17" w:rsidRPr="000829F5" w:rsidRDefault="00570B17" w:rsidP="00570B17">
      <w:pPr>
        <w:tabs>
          <w:tab w:val="right" w:leader="hyphen" w:pos="9072"/>
        </w:tabs>
        <w:spacing w:before="120" w:line="240" w:lineRule="atLeast"/>
        <w:ind w:left="360"/>
        <w:jc w:val="both"/>
      </w:pPr>
    </w:p>
    <w:p w:rsidR="00EB734F" w:rsidRPr="003C57B3" w:rsidRDefault="00EB734F" w:rsidP="003C57B3">
      <w:pPr>
        <w:pStyle w:val="Nadpis3"/>
        <w:tabs>
          <w:tab w:val="right" w:leader="hyphen" w:pos="9072"/>
        </w:tabs>
        <w:jc w:val="center"/>
        <w:rPr>
          <w:rFonts w:ascii="Times New Roman" w:hAnsi="Times New Roman" w:cs="Times New Roman"/>
          <w:sz w:val="24"/>
        </w:rPr>
      </w:pPr>
      <w:r w:rsidRPr="00710D7A">
        <w:rPr>
          <w:rFonts w:ascii="Times New Roman" w:hAnsi="Times New Roman" w:cs="Times New Roman"/>
          <w:sz w:val="24"/>
        </w:rPr>
        <w:t>C. Dozorčí rada</w:t>
      </w:r>
    </w:p>
    <w:p w:rsidR="00EB734F" w:rsidRPr="0024684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24684B">
        <w:rPr>
          <w:b/>
          <w:snapToGrid w:val="0"/>
        </w:rPr>
        <w:t xml:space="preserve"> 29</w:t>
      </w:r>
    </w:p>
    <w:p w:rsidR="00EB734F" w:rsidRPr="0024684B" w:rsidRDefault="00EB734F" w:rsidP="00EB734F">
      <w:pPr>
        <w:pStyle w:val="Nadpis3"/>
        <w:tabs>
          <w:tab w:val="right" w:leader="hyphen" w:pos="9072"/>
        </w:tabs>
        <w:jc w:val="center"/>
        <w:rPr>
          <w:rFonts w:ascii="Times New Roman" w:hAnsi="Times New Roman" w:cs="Times New Roman"/>
          <w:sz w:val="24"/>
        </w:rPr>
      </w:pPr>
      <w:r w:rsidRPr="0024684B">
        <w:rPr>
          <w:rFonts w:ascii="Times New Roman" w:hAnsi="Times New Roman" w:cs="Times New Roman"/>
          <w:sz w:val="24"/>
        </w:rPr>
        <w:t>Působnost dozorčí rady</w:t>
      </w:r>
    </w:p>
    <w:p w:rsidR="00EB734F" w:rsidRPr="0024684B" w:rsidRDefault="00EB734F" w:rsidP="00EB734F">
      <w:pPr>
        <w:tabs>
          <w:tab w:val="right" w:leader="hyphen" w:pos="9072"/>
        </w:tabs>
      </w:pPr>
    </w:p>
    <w:p w:rsidR="00EB734F" w:rsidRPr="0024684B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24684B">
        <w:rPr>
          <w:snapToGrid w:val="0"/>
        </w:rPr>
        <w:t xml:space="preserve">Dozorčí rada společnosti je orgánem společnosti, který dohlíží na výkon </w:t>
      </w:r>
      <w:r>
        <w:rPr>
          <w:snapToGrid w:val="0"/>
        </w:rPr>
        <w:t xml:space="preserve">působnosti    představenstva  a </w:t>
      </w:r>
      <w:r w:rsidRPr="0024684B">
        <w:rPr>
          <w:snapToGrid w:val="0"/>
        </w:rPr>
        <w:t xml:space="preserve"> uskutečňování podnikatelské činnosti společnosti.</w:t>
      </w:r>
      <w:r w:rsidRPr="0024684B">
        <w:rPr>
          <w:snapToGrid w:val="0"/>
        </w:rPr>
        <w:tab/>
      </w:r>
    </w:p>
    <w:p w:rsidR="00EB734F" w:rsidRPr="0024684B" w:rsidRDefault="00EB734F" w:rsidP="00EB734F">
      <w:pPr>
        <w:tabs>
          <w:tab w:val="right" w:leader="hyphen" w:pos="9072"/>
        </w:tabs>
        <w:spacing w:before="120"/>
        <w:jc w:val="both"/>
        <w:rPr>
          <w:snapToGrid w:val="0"/>
        </w:rPr>
      </w:pPr>
      <w:r w:rsidRPr="0024684B">
        <w:rPr>
          <w:snapToGrid w:val="0"/>
        </w:rPr>
        <w:t>Do působnosti dozorčí rady patří:</w:t>
      </w:r>
      <w:r w:rsidRPr="0024684B">
        <w:rPr>
          <w:snapToGrid w:val="0"/>
        </w:rPr>
        <w:tab/>
      </w:r>
    </w:p>
    <w:p w:rsidR="00EB734F" w:rsidRPr="0024684B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>a)</w:t>
      </w:r>
      <w:r w:rsidRPr="0024684B">
        <w:rPr>
          <w:snapToGrid w:val="0"/>
          <w:color w:val="000000"/>
        </w:rPr>
        <w:tab/>
        <w:t xml:space="preserve">nahlížet do všech dokladů a </w:t>
      </w:r>
      <w:r>
        <w:rPr>
          <w:snapToGrid w:val="0"/>
          <w:color w:val="000000"/>
        </w:rPr>
        <w:t xml:space="preserve">záznamů týkajících se činnosti </w:t>
      </w:r>
      <w:r w:rsidRPr="0024684B">
        <w:rPr>
          <w:snapToGrid w:val="0"/>
          <w:color w:val="000000"/>
        </w:rPr>
        <w:t>společnosti;</w:t>
      </w:r>
      <w:r w:rsidRPr="0024684B">
        <w:rPr>
          <w:snapToGrid w:val="0"/>
          <w:color w:val="000000"/>
        </w:rPr>
        <w:tab/>
      </w:r>
    </w:p>
    <w:p w:rsidR="00EB734F" w:rsidRPr="0024684B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>b)</w:t>
      </w:r>
      <w:r w:rsidRPr="0024684B">
        <w:rPr>
          <w:snapToGrid w:val="0"/>
          <w:color w:val="000000"/>
        </w:rPr>
        <w:tab/>
        <w:t>kontrolovat, zda jsou řádně a v souladu se skutečností vedeny účetní záznamy společnosti;</w:t>
      </w:r>
      <w:r w:rsidRPr="0024684B">
        <w:rPr>
          <w:snapToGrid w:val="0"/>
          <w:color w:val="000000"/>
        </w:rPr>
        <w:tab/>
      </w:r>
    </w:p>
    <w:p w:rsidR="00EB734F" w:rsidRPr="0024684B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>c)</w:t>
      </w:r>
      <w:r w:rsidRPr="0024684B">
        <w:rPr>
          <w:snapToGrid w:val="0"/>
          <w:color w:val="000000"/>
        </w:rPr>
        <w:tab/>
        <w:t>kontrolovat, zda podnikatelská činnost společnosti se uskutečňuje v souladu s právními předpisy, těmito stanovami a pokyny valné hromady;</w:t>
      </w:r>
      <w:r w:rsidRPr="0024684B">
        <w:rPr>
          <w:snapToGrid w:val="0"/>
          <w:color w:val="000000"/>
        </w:rPr>
        <w:tab/>
      </w:r>
    </w:p>
    <w:p w:rsidR="00EB734F" w:rsidRPr="0024684B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>d)</w:t>
      </w:r>
      <w:r w:rsidRPr="0024684B">
        <w:rPr>
          <w:snapToGrid w:val="0"/>
          <w:color w:val="000000"/>
        </w:rPr>
        <w:tab/>
        <w:t>přezkoumávat řádnou, mimořádnou a konsolidovanou, popřípadě i mezitímní účetní závěrku a návrh na rozdělení zisku nebo úhradu ztráty a předkládat své vyjádření valné hromadě;</w:t>
      </w:r>
      <w:r w:rsidRPr="0024684B">
        <w:rPr>
          <w:snapToGrid w:val="0"/>
          <w:color w:val="000000"/>
        </w:rPr>
        <w:tab/>
      </w:r>
    </w:p>
    <w:p w:rsidR="00EB734F" w:rsidRPr="0024684B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>e)</w:t>
      </w:r>
      <w:r w:rsidRPr="0024684B">
        <w:rPr>
          <w:snapToGrid w:val="0"/>
          <w:color w:val="000000"/>
        </w:rPr>
        <w:tab/>
        <w:t>účastnit se valné hromady a seznamovat valnou hromadu s výsledky své kontrolní činnosti;</w:t>
      </w:r>
      <w:r w:rsidRPr="0024684B">
        <w:rPr>
          <w:snapToGrid w:val="0"/>
          <w:color w:val="000000"/>
        </w:rPr>
        <w:tab/>
      </w:r>
    </w:p>
    <w:p w:rsidR="00EB734F" w:rsidRPr="0024684B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>f)</w:t>
      </w:r>
      <w:r w:rsidRPr="0024684B">
        <w:rPr>
          <w:snapToGrid w:val="0"/>
          <w:color w:val="000000"/>
        </w:rPr>
        <w:tab/>
        <w:t>svolávat valnou hromadu za podmínek stanovených v zákoně a těchto stanovách;</w:t>
      </w:r>
      <w:r w:rsidRPr="0024684B">
        <w:rPr>
          <w:snapToGrid w:val="0"/>
          <w:color w:val="000000"/>
        </w:rPr>
        <w:tab/>
      </w:r>
    </w:p>
    <w:p w:rsidR="00EB734F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  <w:r w:rsidRPr="0024684B">
        <w:rPr>
          <w:snapToGrid w:val="0"/>
          <w:color w:val="000000"/>
        </w:rPr>
        <w:t xml:space="preserve">g)  zastupovat společnost vůči členům představenstva v řízení před </w:t>
      </w:r>
      <w:r>
        <w:rPr>
          <w:snapToGrid w:val="0"/>
          <w:color w:val="000000"/>
        </w:rPr>
        <w:t>soudy nebo jinými orgány.</w:t>
      </w:r>
      <w:r w:rsidRPr="0024684B">
        <w:rPr>
          <w:snapToGrid w:val="0"/>
          <w:color w:val="000000"/>
        </w:rPr>
        <w:tab/>
      </w:r>
    </w:p>
    <w:p w:rsidR="00EB734F" w:rsidRPr="000A00C2" w:rsidRDefault="00EB734F" w:rsidP="00EB734F">
      <w:pPr>
        <w:keepLines/>
        <w:widowControl w:val="0"/>
        <w:tabs>
          <w:tab w:val="left" w:pos="900"/>
          <w:tab w:val="right" w:leader="hyphen" w:pos="9072"/>
        </w:tabs>
        <w:ind w:left="945" w:hanging="405"/>
        <w:jc w:val="both"/>
        <w:rPr>
          <w:snapToGrid w:val="0"/>
          <w:color w:val="000000"/>
        </w:rPr>
      </w:pPr>
    </w:p>
    <w:p w:rsidR="00EB734F" w:rsidRPr="0024684B" w:rsidRDefault="00EB734F" w:rsidP="00EB734F">
      <w:pPr>
        <w:tabs>
          <w:tab w:val="right" w:leader="hyphen" w:pos="9072"/>
        </w:tabs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24684B">
        <w:rPr>
          <w:b/>
          <w:snapToGrid w:val="0"/>
        </w:rPr>
        <w:t xml:space="preserve"> 30</w:t>
      </w:r>
    </w:p>
    <w:p w:rsidR="00EB734F" w:rsidRDefault="00EB734F" w:rsidP="00EB734F">
      <w:pPr>
        <w:tabs>
          <w:tab w:val="right" w:leader="hyphen" w:pos="9072"/>
        </w:tabs>
        <w:spacing w:before="120"/>
        <w:jc w:val="center"/>
        <w:rPr>
          <w:b/>
        </w:rPr>
      </w:pPr>
      <w:r>
        <w:rPr>
          <w:b/>
        </w:rPr>
        <w:t>Člen</w:t>
      </w:r>
      <w:r w:rsidRPr="0024684B">
        <w:rPr>
          <w:b/>
        </w:rPr>
        <w:t xml:space="preserve"> dozorčí rady</w:t>
      </w:r>
    </w:p>
    <w:p w:rsidR="00EB734F" w:rsidRDefault="00EB734F" w:rsidP="00570B17">
      <w:pPr>
        <w:tabs>
          <w:tab w:val="right" w:leader="hyphen" w:pos="709"/>
        </w:tabs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 xml:space="preserve">1. Dozorčí rada </w:t>
      </w:r>
      <w:r w:rsidRPr="0047329B">
        <w:rPr>
          <w:snapToGrid w:val="0"/>
        </w:rPr>
        <w:t xml:space="preserve">má jednoho člena, kterého volí a odvolává valná hromada. Člen </w:t>
      </w:r>
      <w:r>
        <w:rPr>
          <w:snapToGrid w:val="0"/>
        </w:rPr>
        <w:t xml:space="preserve">dozorčí rady </w:t>
      </w:r>
      <w:r w:rsidR="00570B17">
        <w:rPr>
          <w:snapToGrid w:val="0"/>
        </w:rPr>
        <w:t xml:space="preserve"> </w:t>
      </w:r>
      <w:r>
        <w:rPr>
          <w:snapToGrid w:val="0"/>
        </w:rPr>
        <w:t>j</w:t>
      </w:r>
      <w:r w:rsidR="00570B17">
        <w:rPr>
          <w:snapToGrid w:val="0"/>
        </w:rPr>
        <w:t xml:space="preserve">e volen na dobu pěti (5) let. </w:t>
      </w:r>
      <w:r w:rsidRPr="0047329B">
        <w:rPr>
          <w:snapToGrid w:val="0"/>
        </w:rPr>
        <w:t xml:space="preserve">Výkon funkce člena </w:t>
      </w:r>
      <w:r>
        <w:rPr>
          <w:snapToGrid w:val="0"/>
        </w:rPr>
        <w:t xml:space="preserve">dozorčí rady </w:t>
      </w:r>
      <w:r w:rsidR="00570B17">
        <w:rPr>
          <w:snapToGrid w:val="0"/>
        </w:rPr>
        <w:t xml:space="preserve">je nezastupitelný.-------        </w:t>
      </w:r>
      <w:r w:rsidR="00570B17">
        <w:t xml:space="preserve">Člen </w:t>
      </w:r>
      <w:r w:rsidRPr="0024684B">
        <w:t>dozorčí rady nesmí být zároveň členem představenstva</w:t>
      </w:r>
      <w:r>
        <w:t xml:space="preserve"> </w:t>
      </w:r>
      <w:r w:rsidRPr="0024684B">
        <w:t>nebo osobou oprávněnou podle zápisu v obchodním rejstříku jednat jménem společnosti.</w:t>
      </w:r>
      <w:r>
        <w:t xml:space="preserve"> ---------------------------------</w:t>
      </w:r>
    </w:p>
    <w:p w:rsidR="00EB734F" w:rsidRPr="0047329B" w:rsidRDefault="00EB734F" w:rsidP="00EB734F">
      <w:pPr>
        <w:tabs>
          <w:tab w:val="right" w:leader="hyphen" w:pos="709"/>
        </w:tabs>
        <w:spacing w:before="120"/>
        <w:jc w:val="both"/>
        <w:rPr>
          <w:snapToGrid w:val="0"/>
        </w:rPr>
      </w:pPr>
      <w:r>
        <w:rPr>
          <w:snapToGrid w:val="0"/>
        </w:rPr>
        <w:t xml:space="preserve">2.   </w:t>
      </w:r>
      <w:r w:rsidRPr="0047329B">
        <w:rPr>
          <w:snapToGrid w:val="0"/>
        </w:rPr>
        <w:t xml:space="preserve">Člen </w:t>
      </w:r>
      <w:r>
        <w:rPr>
          <w:snapToGrid w:val="0"/>
        </w:rPr>
        <w:t xml:space="preserve">dozorčí rady </w:t>
      </w:r>
      <w:r w:rsidRPr="0047329B">
        <w:rPr>
          <w:snapToGrid w:val="0"/>
        </w:rPr>
        <w:t>může jmenovat náhradní</w:t>
      </w:r>
      <w:r>
        <w:rPr>
          <w:snapToGrid w:val="0"/>
        </w:rPr>
        <w:t>ho člena</w:t>
      </w:r>
      <w:r w:rsidRPr="0047329B">
        <w:rPr>
          <w:snapToGrid w:val="0"/>
        </w:rPr>
        <w:t xml:space="preserve"> do příštího zasedání valné hromady.</w:t>
      </w:r>
      <w:r>
        <w:rPr>
          <w:snapToGrid w:val="0"/>
        </w:rPr>
        <w:t xml:space="preserve"> --</w:t>
      </w:r>
    </w:p>
    <w:p w:rsidR="00EB734F" w:rsidRPr="0047329B" w:rsidRDefault="00EB734F" w:rsidP="00EB734F">
      <w:pPr>
        <w:numPr>
          <w:ilvl w:val="0"/>
          <w:numId w:val="20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 xml:space="preserve">O všech rozhodnutích </w:t>
      </w:r>
      <w:r>
        <w:rPr>
          <w:snapToGrid w:val="0"/>
        </w:rPr>
        <w:t xml:space="preserve">dozorčí rady </w:t>
      </w:r>
      <w:r w:rsidRPr="0047329B">
        <w:rPr>
          <w:snapToGrid w:val="0"/>
        </w:rPr>
        <w:t xml:space="preserve">se sepíše zápis, který podepisuje jediný člen </w:t>
      </w:r>
      <w:r>
        <w:rPr>
          <w:snapToGrid w:val="0"/>
        </w:rPr>
        <w:t>dozorčí rady</w:t>
      </w:r>
      <w:r w:rsidRPr="0047329B">
        <w:rPr>
          <w:snapToGrid w:val="0"/>
        </w:rPr>
        <w:t xml:space="preserve">. </w:t>
      </w:r>
      <w:r w:rsidRPr="0047329B">
        <w:rPr>
          <w:snapToGrid w:val="0"/>
        </w:rPr>
        <w:tab/>
      </w:r>
    </w:p>
    <w:p w:rsidR="00EB734F" w:rsidRDefault="00EB734F" w:rsidP="00570B17">
      <w:pPr>
        <w:numPr>
          <w:ilvl w:val="0"/>
          <w:numId w:val="20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47329B">
        <w:rPr>
          <w:snapToGrid w:val="0"/>
        </w:rPr>
        <w:t>Člen</w:t>
      </w:r>
      <w:r>
        <w:rPr>
          <w:snapToGrid w:val="0"/>
        </w:rPr>
        <w:t xml:space="preserve"> dozorčí rady </w:t>
      </w:r>
      <w:r w:rsidRPr="0047329B">
        <w:rPr>
          <w:snapToGrid w:val="0"/>
        </w:rPr>
        <w:t xml:space="preserve">je oprávněn ze své funkce odstoupit, je však povinen to oznámit valné hromadě. Výkon jeho funkce končí uplynutím jednoho měsíce od tohoto oznámení, neschválí-li valná hromada jiný okamžik zániku funkce. Má-li společnost jediného akcionáře, skončí funkce uplynutím jednoho měsíce od doručení oznámení o odstoupení jedinému akcionáři, není-li dohodnut jiný okamžik zániku funkce. </w:t>
      </w:r>
      <w:r w:rsidRPr="0047329B">
        <w:rPr>
          <w:snapToGrid w:val="0"/>
        </w:rPr>
        <w:tab/>
      </w:r>
    </w:p>
    <w:p w:rsidR="00570B17" w:rsidRPr="00570B17" w:rsidRDefault="00570B17" w:rsidP="00570B17">
      <w:pPr>
        <w:tabs>
          <w:tab w:val="right" w:leader="hyphen" w:pos="9072"/>
        </w:tabs>
        <w:spacing w:before="120"/>
        <w:ind w:left="360"/>
        <w:jc w:val="both"/>
        <w:rPr>
          <w:snapToGrid w:val="0"/>
        </w:rPr>
      </w:pPr>
    </w:p>
    <w:p w:rsidR="00EB734F" w:rsidRPr="0024684B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§</w:t>
      </w:r>
      <w:r w:rsidRPr="0024684B">
        <w:rPr>
          <w:b/>
          <w:snapToGrid w:val="0"/>
        </w:rPr>
        <w:t xml:space="preserve"> 31</w:t>
      </w:r>
    </w:p>
    <w:p w:rsidR="00EB734F" w:rsidRPr="000A00C2" w:rsidRDefault="00EB734F" w:rsidP="00EB734F">
      <w:pPr>
        <w:tabs>
          <w:tab w:val="right" w:leader="hyphen" w:pos="9072"/>
        </w:tabs>
        <w:spacing w:before="120"/>
        <w:jc w:val="center"/>
        <w:rPr>
          <w:b/>
          <w:snapToGrid w:val="0"/>
        </w:rPr>
      </w:pPr>
      <w:r w:rsidRPr="0024684B">
        <w:rPr>
          <w:b/>
        </w:rPr>
        <w:t>Práva a povinnosti členů dozorčí rady</w:t>
      </w:r>
    </w:p>
    <w:p w:rsidR="00EB734F" w:rsidRPr="00EB734F" w:rsidRDefault="00EB734F" w:rsidP="00EB734F">
      <w:pPr>
        <w:numPr>
          <w:ilvl w:val="0"/>
          <w:numId w:val="3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>
        <w:rPr>
          <w:snapToGrid w:val="0"/>
        </w:rPr>
        <w:t>Dozorčí rada může zakázat představenstvu určité právní jednání, je-li to v zájmu společnosti.</w:t>
      </w:r>
      <w:r w:rsidRPr="0024684B">
        <w:rPr>
          <w:snapToGrid w:val="0"/>
        </w:rPr>
        <w:tab/>
      </w:r>
    </w:p>
    <w:p w:rsidR="00EB734F" w:rsidRPr="000A00C2" w:rsidRDefault="00EB734F" w:rsidP="00EB734F">
      <w:pPr>
        <w:numPr>
          <w:ilvl w:val="0"/>
          <w:numId w:val="3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A00C2">
        <w:t xml:space="preserve">Členové  dozorčí  rady   jsou  povinni  vykonávat  svoji působnost s péčí </w:t>
      </w:r>
      <w:r>
        <w:t xml:space="preserve">řádného hospodáře a zachovávat </w:t>
      </w:r>
      <w:r w:rsidRPr="000A00C2">
        <w:t>mlčenlivost o důvěrných informacích a skutečnostech, jejichž  prozrazení tř</w:t>
      </w:r>
      <w:r>
        <w:t xml:space="preserve">etím osobám by mohlo </w:t>
      </w:r>
      <w:r w:rsidRPr="000A00C2">
        <w:t xml:space="preserve">společnosti  způsobit  škodu. Osoba, která porušila povinnost péče řádného hospodáře, vydá obchodní korporaci prospěch, který v souvislosti s takovým jednáním získala. Není-li vydání prospěchu možné, nahradí ho v penězích. </w:t>
      </w:r>
      <w:r w:rsidRPr="000A00C2">
        <w:tab/>
        <w:t xml:space="preserve"> </w:t>
      </w:r>
    </w:p>
    <w:p w:rsidR="00EB734F" w:rsidRPr="00570B17" w:rsidRDefault="00EB734F" w:rsidP="00570B17">
      <w:pPr>
        <w:numPr>
          <w:ilvl w:val="0"/>
          <w:numId w:val="31"/>
        </w:numPr>
        <w:tabs>
          <w:tab w:val="right" w:leader="hyphen" w:pos="9072"/>
        </w:tabs>
        <w:spacing w:before="120"/>
        <w:jc w:val="both"/>
        <w:rPr>
          <w:snapToGrid w:val="0"/>
        </w:rPr>
      </w:pPr>
      <w:r w:rsidRPr="000A00C2">
        <w:rPr>
          <w:snapToGrid w:val="0"/>
        </w:rPr>
        <w:t>Pro členy dozorčí rady platí zákaz konkurence v rozsahu  dle § 451 a násl. ZOK.</w:t>
      </w:r>
      <w:r w:rsidRPr="000A00C2">
        <w:rPr>
          <w:snapToGrid w:val="0"/>
        </w:rPr>
        <w:tab/>
      </w:r>
    </w:p>
    <w:p w:rsidR="00EB734F" w:rsidRPr="008E5AFE" w:rsidRDefault="00EB734F" w:rsidP="00EB734F">
      <w:pPr>
        <w:pStyle w:val="Nadpis3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VI. Hospodaření společnosti</w:t>
      </w:r>
    </w:p>
    <w:p w:rsidR="00EB734F" w:rsidRDefault="00EB734F" w:rsidP="00EB734F">
      <w:pPr>
        <w:spacing w:before="120" w:line="240" w:lineRule="atLeast"/>
        <w:jc w:val="center"/>
        <w:rPr>
          <w:b/>
        </w:rPr>
      </w:pPr>
    </w:p>
    <w:p w:rsidR="00EB734F" w:rsidRPr="00B01EE4" w:rsidRDefault="00EB734F" w:rsidP="00EB734F">
      <w:pPr>
        <w:spacing w:before="120" w:line="240" w:lineRule="atLeast"/>
        <w:jc w:val="center"/>
        <w:rPr>
          <w:b/>
        </w:rPr>
      </w:pPr>
      <w:r w:rsidRPr="00B01EE4">
        <w:rPr>
          <w:b/>
        </w:rPr>
        <w:t>§ 32</w:t>
      </w:r>
    </w:p>
    <w:p w:rsidR="00EB734F" w:rsidRPr="00B01EE4" w:rsidRDefault="00EB734F" w:rsidP="00EB734F">
      <w:pPr>
        <w:spacing w:before="120" w:line="240" w:lineRule="atLeast"/>
        <w:jc w:val="center"/>
        <w:rPr>
          <w:b/>
        </w:rPr>
      </w:pPr>
      <w:r w:rsidRPr="00B01EE4">
        <w:rPr>
          <w:b/>
        </w:rPr>
        <w:t xml:space="preserve">Účetní závěrka </w:t>
      </w:r>
    </w:p>
    <w:p w:rsidR="00EB734F" w:rsidRPr="00710D7A" w:rsidRDefault="00EB734F" w:rsidP="00EB734F">
      <w:pPr>
        <w:numPr>
          <w:ilvl w:val="0"/>
          <w:numId w:val="2"/>
        </w:numPr>
        <w:spacing w:before="120" w:line="240" w:lineRule="atLeast"/>
        <w:jc w:val="both"/>
      </w:pPr>
      <w:r w:rsidRPr="00710D7A">
        <w:t>Účetním obdobím je kalendářní rok. ------------------------------------------------------------</w:t>
      </w:r>
    </w:p>
    <w:p w:rsidR="00EB734F" w:rsidRPr="00710D7A" w:rsidRDefault="00EB734F" w:rsidP="00EB734F">
      <w:pPr>
        <w:numPr>
          <w:ilvl w:val="0"/>
          <w:numId w:val="2"/>
        </w:numPr>
        <w:spacing w:before="120" w:line="240" w:lineRule="atLeast"/>
        <w:jc w:val="both"/>
      </w:pPr>
      <w:r w:rsidRPr="00710D7A">
        <w:t>Po skončení účetního období zajistí představenstvo vypracování účetní závěrky. Účetní závěrku společnosti předloží představenstvo k přezkoumání dozorčí radě společnosti, k ověření auditorovi (jestliže se takové ověření dle zákona vyžaduje) a ke schválení valné hromadě společnosti. ----------------------------------------------------------</w:t>
      </w:r>
    </w:p>
    <w:p w:rsidR="00EB734F" w:rsidRDefault="00EB734F" w:rsidP="00EB734F">
      <w:pPr>
        <w:numPr>
          <w:ilvl w:val="0"/>
          <w:numId w:val="2"/>
        </w:numPr>
        <w:spacing w:before="120" w:line="240" w:lineRule="atLeast"/>
        <w:jc w:val="both"/>
      </w:pPr>
      <w:r w:rsidRPr="00710D7A">
        <w:t xml:space="preserve">Představenstvo zveřejní </w:t>
      </w:r>
      <w:r>
        <w:t>účetní závěrku</w:t>
      </w:r>
      <w:r w:rsidRPr="00710D7A">
        <w:t xml:space="preserve"> ve lhůtě 30 dnů (slovy: třicet dnů) přede dnem konání valné hromady, která bude účetní závěrku schvalovat, způsobem určeným stanovami pro svolání valné hromady s uvedením doby a místa, v němž je účetní závěrka k nahlédnutí</w:t>
      </w:r>
      <w:r>
        <w:t>. To neplatí, uveřejní-li společnost účetní závěrku na svých internetových stránkách alespoň po dobu třicet (30) dnů přede dnem konání valné hromady a do doby třicet (30) dní po schválení nebo neschválení účetní závěrky. ------</w:t>
      </w:r>
    </w:p>
    <w:p w:rsidR="00EB734F" w:rsidRDefault="00EB734F" w:rsidP="00EB734F">
      <w:pPr>
        <w:numPr>
          <w:ilvl w:val="0"/>
          <w:numId w:val="2"/>
        </w:numPr>
        <w:spacing w:before="120" w:line="240" w:lineRule="atLeast"/>
        <w:jc w:val="both"/>
      </w:pPr>
      <w:r>
        <w:t xml:space="preserve">Společně </w:t>
      </w:r>
      <w:r w:rsidRPr="00B01EE4">
        <w:t xml:space="preserve">s účetní závěrkou uveřejní </w:t>
      </w:r>
      <w:r>
        <w:t xml:space="preserve">představenstvo </w:t>
      </w:r>
      <w:r w:rsidRPr="00B01EE4">
        <w:t>způsobem uvedeným v předchozí</w:t>
      </w:r>
      <w:r>
        <w:t>m</w:t>
      </w:r>
      <w:r w:rsidRPr="00B01EE4">
        <w:t xml:space="preserve"> </w:t>
      </w:r>
      <w:r>
        <w:t xml:space="preserve">odstavci </w:t>
      </w:r>
      <w:r w:rsidRPr="00B01EE4">
        <w:t>také zprávu o podnikatelské činnosti společnosti a o stavu jejího majetku. ---------</w:t>
      </w:r>
      <w:r>
        <w:t>----------------------------------------------------------------------------</w:t>
      </w:r>
    </w:p>
    <w:p w:rsidR="0032615D" w:rsidRPr="0032615D" w:rsidRDefault="0032615D" w:rsidP="0032615D">
      <w:pPr>
        <w:spacing w:before="120" w:line="240" w:lineRule="atLeast"/>
        <w:ind w:left="720"/>
        <w:jc w:val="both"/>
      </w:pPr>
    </w:p>
    <w:p w:rsidR="00EB734F" w:rsidRPr="00B01EE4" w:rsidRDefault="00EB734F" w:rsidP="00EB734F">
      <w:pPr>
        <w:spacing w:before="120" w:line="240" w:lineRule="atLeast"/>
        <w:jc w:val="center"/>
        <w:rPr>
          <w:b/>
        </w:rPr>
      </w:pPr>
      <w:r w:rsidRPr="00B01EE4">
        <w:rPr>
          <w:b/>
        </w:rPr>
        <w:t>§ 33</w:t>
      </w:r>
    </w:p>
    <w:p w:rsidR="00EB734F" w:rsidRPr="006357B5" w:rsidRDefault="00EB734F" w:rsidP="00EB734F">
      <w:pPr>
        <w:pStyle w:val="Zkladntext3"/>
        <w:rPr>
          <w:b/>
          <w:sz w:val="24"/>
          <w:szCs w:val="24"/>
        </w:rPr>
      </w:pPr>
      <w:r w:rsidRPr="00B01EE4">
        <w:rPr>
          <w:b/>
          <w:sz w:val="24"/>
          <w:szCs w:val="24"/>
        </w:rPr>
        <w:t>Způsob rozdělení zisku a úhrady ztrát</w:t>
      </w:r>
    </w:p>
    <w:p w:rsidR="00EB734F" w:rsidRPr="00710D7A" w:rsidRDefault="00EB734F" w:rsidP="00EB734F">
      <w:pPr>
        <w:numPr>
          <w:ilvl w:val="0"/>
          <w:numId w:val="3"/>
        </w:numPr>
        <w:tabs>
          <w:tab w:val="right" w:leader="hyphen" w:pos="9072"/>
        </w:tabs>
        <w:spacing w:before="120" w:line="240" w:lineRule="atLeast"/>
        <w:ind w:left="714" w:hanging="357"/>
        <w:jc w:val="both"/>
      </w:pPr>
      <w:r w:rsidRPr="00710D7A">
        <w:t xml:space="preserve">O rozdělení zisku společnosti rozhoduje valná hromada na návrh představenstva po přezkoumání tohoto návrhu dozorčí radou. </w:t>
      </w:r>
      <w:r w:rsidRPr="00710D7A">
        <w:tab/>
      </w:r>
    </w:p>
    <w:p w:rsidR="00EB734F" w:rsidRDefault="00EB734F" w:rsidP="00EB734F">
      <w:pPr>
        <w:numPr>
          <w:ilvl w:val="0"/>
          <w:numId w:val="3"/>
        </w:numPr>
        <w:tabs>
          <w:tab w:val="right" w:leader="hyphen" w:pos="9072"/>
        </w:tabs>
        <w:spacing w:before="120" w:line="240" w:lineRule="atLeast"/>
        <w:ind w:left="714" w:hanging="357"/>
        <w:jc w:val="both"/>
      </w:pPr>
      <w:r>
        <w:t>Usnesení valné hromady o rozdělení zisku společnosti musí respektovat omezení vyplývající z </w:t>
      </w:r>
      <w:proofErr w:type="spellStart"/>
      <w:r>
        <w:t>ust</w:t>
      </w:r>
      <w:proofErr w:type="spellEnd"/>
      <w:r>
        <w:t xml:space="preserve">. § 350 odst. 1 a 2 ZOK. </w:t>
      </w:r>
      <w:r>
        <w:tab/>
      </w:r>
    </w:p>
    <w:p w:rsidR="00EB734F" w:rsidRDefault="00EB734F" w:rsidP="00EB734F">
      <w:pPr>
        <w:numPr>
          <w:ilvl w:val="0"/>
          <w:numId w:val="3"/>
        </w:numPr>
        <w:tabs>
          <w:tab w:val="right" w:leader="hyphen" w:pos="9072"/>
        </w:tabs>
        <w:spacing w:before="120" w:line="240" w:lineRule="atLeast"/>
        <w:ind w:left="714" w:hanging="357"/>
        <w:jc w:val="both"/>
      </w:pPr>
      <w:r>
        <w:t>Část zisku určeného valnou hromadou lze použít i na výplatu tantiém</w:t>
      </w:r>
      <w:r w:rsidRPr="00B17F4B">
        <w:t xml:space="preserve"> členů představenstva a dozorčí rady společnosti.</w:t>
      </w:r>
      <w:r w:rsidRPr="00B17F4B">
        <w:tab/>
      </w:r>
    </w:p>
    <w:p w:rsidR="00EB734F" w:rsidRPr="00C35554" w:rsidRDefault="00EB734F" w:rsidP="00EB734F">
      <w:pPr>
        <w:numPr>
          <w:ilvl w:val="0"/>
          <w:numId w:val="3"/>
        </w:numPr>
        <w:tabs>
          <w:tab w:val="right" w:leader="hyphen" w:pos="9072"/>
        </w:tabs>
        <w:spacing w:before="120" w:line="240" w:lineRule="atLeast"/>
        <w:jc w:val="both"/>
      </w:pPr>
      <w:r w:rsidRPr="00710D7A">
        <w:t>Ztráta společnosti se uhrazuje především z </w:t>
      </w:r>
      <w:r w:rsidRPr="00C35554">
        <w:t>fondů společnosti, pokud nejsou z</w:t>
      </w:r>
      <w:r>
        <w:t xml:space="preserve">e zákona vázány k jiným účelům. Valná hromada může rozhodnout i o </w:t>
      </w:r>
      <w:r w:rsidRPr="00C35554">
        <w:t>úhradě ztráty snížením základního kapitálu</w:t>
      </w:r>
      <w:r>
        <w:t>,</w:t>
      </w:r>
      <w:r w:rsidRPr="00C35554">
        <w:t xml:space="preserve"> a nebo o tom, že ztráta bude přeúčtována na účet neuhrazené ztráty minulých let. </w:t>
      </w:r>
      <w:r w:rsidRPr="00C35554">
        <w:tab/>
      </w:r>
    </w:p>
    <w:p w:rsidR="003C57B3" w:rsidRPr="00710D7A" w:rsidRDefault="003C57B3" w:rsidP="00EB734F">
      <w:pPr>
        <w:tabs>
          <w:tab w:val="right" w:leader="hyphen" w:pos="9072"/>
        </w:tabs>
        <w:spacing w:before="120" w:line="240" w:lineRule="atLeast"/>
      </w:pPr>
      <w:bookmarkStart w:id="0" w:name="_GoBack"/>
      <w:bookmarkEnd w:id="0"/>
    </w:p>
    <w:p w:rsidR="00EB734F" w:rsidRPr="00710D7A" w:rsidRDefault="00EB734F" w:rsidP="00EB734F">
      <w:pPr>
        <w:tabs>
          <w:tab w:val="right" w:leader="hyphen" w:pos="9072"/>
        </w:tabs>
        <w:spacing w:before="120" w:line="240" w:lineRule="atLeast"/>
        <w:jc w:val="center"/>
      </w:pPr>
      <w:r w:rsidRPr="00710D7A">
        <w:rPr>
          <w:b/>
          <w:bCs/>
        </w:rPr>
        <w:t xml:space="preserve">VII. </w:t>
      </w:r>
      <w:r w:rsidRPr="00710D7A">
        <w:rPr>
          <w:b/>
          <w:bCs/>
          <w:caps/>
        </w:rPr>
        <w:t>Zrušení a likvidace společnosti</w:t>
      </w:r>
    </w:p>
    <w:p w:rsidR="00EB734F" w:rsidRDefault="00EB734F" w:rsidP="00EB734F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</w:p>
    <w:p w:rsidR="00EB734F" w:rsidRPr="00A10E9E" w:rsidRDefault="00EB734F" w:rsidP="00EB734F">
      <w:pPr>
        <w:tabs>
          <w:tab w:val="right" w:leader="hyphen" w:pos="9072"/>
        </w:tabs>
        <w:spacing w:before="120" w:line="240" w:lineRule="atLeast"/>
        <w:jc w:val="center"/>
        <w:rPr>
          <w:b/>
        </w:rPr>
      </w:pPr>
      <w:r w:rsidRPr="00B17F4B">
        <w:rPr>
          <w:b/>
        </w:rPr>
        <w:t>§</w:t>
      </w:r>
      <w:r>
        <w:rPr>
          <w:b/>
        </w:rPr>
        <w:t xml:space="preserve"> </w:t>
      </w:r>
      <w:r w:rsidRPr="00B17F4B">
        <w:rPr>
          <w:b/>
        </w:rPr>
        <w:t>34</w:t>
      </w:r>
    </w:p>
    <w:p w:rsidR="00EB734F" w:rsidRPr="00710D7A" w:rsidRDefault="00EB734F" w:rsidP="00EB734F">
      <w:pPr>
        <w:numPr>
          <w:ilvl w:val="0"/>
          <w:numId w:val="4"/>
        </w:numPr>
        <w:tabs>
          <w:tab w:val="right" w:leader="hyphen" w:pos="9072"/>
        </w:tabs>
        <w:spacing w:after="120"/>
        <w:jc w:val="both"/>
      </w:pPr>
      <w:r w:rsidRPr="00710D7A">
        <w:t xml:space="preserve">O zrušení společnosti rozhoduje valná hromada. </w:t>
      </w:r>
      <w:r w:rsidRPr="00710D7A">
        <w:tab/>
      </w:r>
    </w:p>
    <w:p w:rsidR="00EB734F" w:rsidRPr="00710D7A" w:rsidRDefault="00EB734F" w:rsidP="00EB734F">
      <w:pPr>
        <w:numPr>
          <w:ilvl w:val="0"/>
          <w:numId w:val="4"/>
        </w:numPr>
        <w:tabs>
          <w:tab w:val="right" w:leader="hyphen" w:pos="9072"/>
        </w:tabs>
        <w:spacing w:after="120"/>
        <w:jc w:val="both"/>
      </w:pPr>
      <w:r w:rsidRPr="00710D7A">
        <w:t xml:space="preserve">Společnost se zrušuje i z dalších důvodů stanovených zákonem. </w:t>
      </w:r>
      <w:r w:rsidRPr="00710D7A">
        <w:tab/>
      </w:r>
    </w:p>
    <w:p w:rsidR="00EB734F" w:rsidRPr="00710D7A" w:rsidRDefault="00EB734F" w:rsidP="00EB734F">
      <w:pPr>
        <w:numPr>
          <w:ilvl w:val="0"/>
          <w:numId w:val="4"/>
        </w:numPr>
        <w:tabs>
          <w:tab w:val="right" w:leader="hyphen" w:pos="9072"/>
        </w:tabs>
        <w:jc w:val="both"/>
      </w:pPr>
      <w:r w:rsidRPr="00710D7A">
        <w:t xml:space="preserve">Společnost zaniká dnem výmazu z obchodního rejstříku. </w:t>
      </w:r>
      <w:r w:rsidRPr="00710D7A">
        <w:tab/>
      </w:r>
    </w:p>
    <w:p w:rsidR="00EB734F" w:rsidRDefault="00EB734F" w:rsidP="00EB734F">
      <w:pPr>
        <w:rPr>
          <w:b/>
        </w:rPr>
      </w:pPr>
    </w:p>
    <w:p w:rsidR="00570B17" w:rsidRDefault="00570B17" w:rsidP="00EB734F">
      <w:pPr>
        <w:rPr>
          <w:b/>
        </w:rPr>
      </w:pPr>
    </w:p>
    <w:p w:rsidR="00EB734F" w:rsidRDefault="00EB734F" w:rsidP="00EB734F">
      <w:pPr>
        <w:jc w:val="center"/>
        <w:rPr>
          <w:b/>
        </w:rPr>
      </w:pPr>
      <w:r>
        <w:rPr>
          <w:b/>
        </w:rPr>
        <w:t xml:space="preserve">VIII. ZÁVĚREČNÁ USTANOVENÍ </w:t>
      </w:r>
    </w:p>
    <w:p w:rsidR="00EB734F" w:rsidRPr="001A3D3F" w:rsidRDefault="00EB734F" w:rsidP="00EB734F">
      <w:pPr>
        <w:jc w:val="center"/>
      </w:pPr>
    </w:p>
    <w:p w:rsidR="00EB734F" w:rsidRDefault="00EB734F" w:rsidP="00EB734F">
      <w:pPr>
        <w:jc w:val="center"/>
        <w:rPr>
          <w:b/>
        </w:rPr>
      </w:pPr>
      <w:r>
        <w:rPr>
          <w:b/>
        </w:rPr>
        <w:t>§ 35</w:t>
      </w:r>
    </w:p>
    <w:p w:rsidR="00EB734F" w:rsidRDefault="00EB734F" w:rsidP="00EB734F">
      <w:pPr>
        <w:pStyle w:val="nadpis40"/>
        <w:keepNext w:val="0"/>
        <w:tabs>
          <w:tab w:val="right" w:leader="hyphen" w:pos="9046"/>
        </w:tabs>
        <w:spacing w:before="0"/>
        <w:outlineLvl w:val="9"/>
        <w:rPr>
          <w:b w:val="0"/>
          <w:bCs/>
        </w:rPr>
      </w:pPr>
    </w:p>
    <w:p w:rsidR="00EB734F" w:rsidRDefault="00EB734F" w:rsidP="00EB734F">
      <w:pPr>
        <w:pStyle w:val="nadpis40"/>
        <w:keepNext w:val="0"/>
        <w:numPr>
          <w:ilvl w:val="0"/>
          <w:numId w:val="32"/>
        </w:numPr>
        <w:tabs>
          <w:tab w:val="right" w:leader="hyphen" w:pos="426"/>
        </w:tabs>
        <w:spacing w:before="0"/>
        <w:outlineLvl w:val="9"/>
        <w:rPr>
          <w:b w:val="0"/>
          <w:bCs/>
        </w:rPr>
      </w:pPr>
      <w:r>
        <w:rPr>
          <w:b w:val="0"/>
          <w:bCs/>
        </w:rPr>
        <w:t xml:space="preserve">Společnost se ve smyslu </w:t>
      </w:r>
      <w:proofErr w:type="spellStart"/>
      <w:r>
        <w:rPr>
          <w:b w:val="0"/>
          <w:bCs/>
        </w:rPr>
        <w:t>ust</w:t>
      </w:r>
      <w:proofErr w:type="spellEnd"/>
      <w:r>
        <w:rPr>
          <w:b w:val="0"/>
          <w:bCs/>
        </w:rPr>
        <w:t>. § 777 odst. 5 zákona o obchodních korporacích podřizuje zákonu č. 90/2012 Sb., o obchodních společnostech a družstvech (zákon o obchodních korporacích), jako celku. Tato změna stanov nabývá účinnosti dnem, kdy bude zveřejněn zápis této skutečnosti do obchodního rejstříku způsobem umožňujícím dálkový přístup podle zákona o veřejných rejstřících právnických a fyzických osob.  –</w:t>
      </w:r>
    </w:p>
    <w:p w:rsidR="00EB734F" w:rsidRDefault="00EB734F" w:rsidP="00EB734F">
      <w:pPr>
        <w:pStyle w:val="nadpis40"/>
        <w:keepNext w:val="0"/>
        <w:tabs>
          <w:tab w:val="right" w:leader="hyphen" w:pos="426"/>
        </w:tabs>
        <w:spacing w:before="0"/>
        <w:ind w:left="720"/>
        <w:outlineLvl w:val="9"/>
        <w:rPr>
          <w:b w:val="0"/>
          <w:bCs/>
        </w:rPr>
      </w:pPr>
    </w:p>
    <w:p w:rsidR="00EB734F" w:rsidRPr="007D0E1E" w:rsidRDefault="00EB734F" w:rsidP="00EB734F">
      <w:pPr>
        <w:pStyle w:val="nadpis40"/>
        <w:keepNext w:val="0"/>
        <w:numPr>
          <w:ilvl w:val="0"/>
          <w:numId w:val="32"/>
        </w:numPr>
        <w:tabs>
          <w:tab w:val="right" w:leader="hyphen" w:pos="426"/>
        </w:tabs>
        <w:spacing w:before="0"/>
        <w:outlineLvl w:val="9"/>
        <w:rPr>
          <w:b w:val="0"/>
          <w:bCs/>
        </w:rPr>
      </w:pPr>
      <w:r w:rsidRPr="007D0E1E">
        <w:rPr>
          <w:b w:val="0"/>
          <w:bCs/>
        </w:rPr>
        <w:t xml:space="preserve">Právní vztahy těmito stanovami výslovně neupravené se řídí zákonem o obchodních korporacích, občanským zákoníkem a ostatními obecně závaznými právními předpisy České republiky. </w:t>
      </w:r>
      <w:r>
        <w:rPr>
          <w:b w:val="0"/>
          <w:bCs/>
        </w:rPr>
        <w:t>-----------------------------------------------------------------------------------</w:t>
      </w:r>
      <w:r>
        <w:rPr>
          <w:b w:val="0"/>
          <w:bCs/>
        </w:rPr>
        <w:tab/>
      </w:r>
      <w:r w:rsidRPr="007D0E1E">
        <w:rPr>
          <w:b w:val="0"/>
          <w:bCs/>
        </w:rPr>
        <w:tab/>
      </w:r>
    </w:p>
    <w:p w:rsidR="00521334" w:rsidRDefault="00521334"/>
    <w:sectPr w:rsidR="00521334" w:rsidSect="00BA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BD5"/>
    <w:multiLevelType w:val="multilevel"/>
    <w:tmpl w:val="E37223D4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">
    <w:nsid w:val="043B74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6042D7"/>
    <w:multiLevelType w:val="singleLevel"/>
    <w:tmpl w:val="23CCC9D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067D28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563147"/>
    <w:multiLevelType w:val="singleLevel"/>
    <w:tmpl w:val="0360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CE5B08"/>
    <w:multiLevelType w:val="multilevel"/>
    <w:tmpl w:val="13EE199A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</w:abstractNum>
  <w:abstractNum w:abstractNumId="6">
    <w:nsid w:val="128F3D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9475F5"/>
    <w:multiLevelType w:val="hybridMultilevel"/>
    <w:tmpl w:val="FFBC5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17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5D4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C41B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D40FC6"/>
    <w:multiLevelType w:val="singleLevel"/>
    <w:tmpl w:val="99CEE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8A67F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7017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A9319B"/>
    <w:multiLevelType w:val="hybridMultilevel"/>
    <w:tmpl w:val="2266E82A"/>
    <w:lvl w:ilvl="0" w:tplc="ACDE4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B68E1"/>
    <w:multiLevelType w:val="hybridMultilevel"/>
    <w:tmpl w:val="E132D1FE"/>
    <w:lvl w:ilvl="0" w:tplc="56A8E6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28E5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B8A3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4508F"/>
    <w:multiLevelType w:val="singleLevel"/>
    <w:tmpl w:val="A9165AC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44DD0B6B"/>
    <w:multiLevelType w:val="hybridMultilevel"/>
    <w:tmpl w:val="86FCE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11C17"/>
    <w:multiLevelType w:val="hybridMultilevel"/>
    <w:tmpl w:val="5336AF98"/>
    <w:lvl w:ilvl="0" w:tplc="D6E6B85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B443F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8B79EE"/>
    <w:multiLevelType w:val="singleLevel"/>
    <w:tmpl w:val="D96C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1">
    <w:nsid w:val="52414F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7C05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8732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7A63C0B"/>
    <w:multiLevelType w:val="hybridMultilevel"/>
    <w:tmpl w:val="54524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C48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E727AD"/>
    <w:multiLevelType w:val="singleLevel"/>
    <w:tmpl w:val="0360F2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6F45B2"/>
    <w:multiLevelType w:val="hybridMultilevel"/>
    <w:tmpl w:val="57443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65B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F849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B100B5"/>
    <w:multiLevelType w:val="singleLevel"/>
    <w:tmpl w:val="BCEE7CA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">
    <w:nsid w:val="78AA6315"/>
    <w:multiLevelType w:val="singleLevel"/>
    <w:tmpl w:val="846498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7B7F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514A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24"/>
  </w:num>
  <w:num w:numId="5">
    <w:abstractNumId w:val="14"/>
  </w:num>
  <w:num w:numId="6">
    <w:abstractNumId w:val="10"/>
  </w:num>
  <w:num w:numId="7">
    <w:abstractNumId w:val="21"/>
  </w:num>
  <w:num w:numId="8">
    <w:abstractNumId w:val="33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28"/>
  </w:num>
  <w:num w:numId="14">
    <w:abstractNumId w:val="22"/>
  </w:num>
  <w:num w:numId="15">
    <w:abstractNumId w:val="18"/>
  </w:num>
  <w:num w:numId="16">
    <w:abstractNumId w:val="32"/>
  </w:num>
  <w:num w:numId="17">
    <w:abstractNumId w:val="16"/>
  </w:num>
  <w:num w:numId="18">
    <w:abstractNumId w:val="4"/>
  </w:num>
  <w:num w:numId="19">
    <w:abstractNumId w:val="11"/>
  </w:num>
  <w:num w:numId="20">
    <w:abstractNumId w:val="8"/>
  </w:num>
  <w:num w:numId="21">
    <w:abstractNumId w:val="3"/>
  </w:num>
  <w:num w:numId="22">
    <w:abstractNumId w:val="30"/>
  </w:num>
  <w:num w:numId="23">
    <w:abstractNumId w:val="19"/>
  </w:num>
  <w:num w:numId="24">
    <w:abstractNumId w:val="1"/>
  </w:num>
  <w:num w:numId="25">
    <w:abstractNumId w:val="23"/>
  </w:num>
  <w:num w:numId="26">
    <w:abstractNumId w:val="29"/>
  </w:num>
  <w:num w:numId="27">
    <w:abstractNumId w:val="26"/>
  </w:num>
  <w:num w:numId="28">
    <w:abstractNumId w:val="13"/>
  </w:num>
  <w:num w:numId="29">
    <w:abstractNumId w:val="20"/>
  </w:num>
  <w:num w:numId="30">
    <w:abstractNumId w:val="31"/>
  </w:num>
  <w:num w:numId="31">
    <w:abstractNumId w:val="25"/>
  </w:num>
  <w:num w:numId="32">
    <w:abstractNumId w:val="27"/>
  </w:num>
  <w:num w:numId="33">
    <w:abstractNumId w:val="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B46BF"/>
    <w:rsid w:val="000829F5"/>
    <w:rsid w:val="000C0221"/>
    <w:rsid w:val="00142970"/>
    <w:rsid w:val="001C41E1"/>
    <w:rsid w:val="001D56C7"/>
    <w:rsid w:val="00201D96"/>
    <w:rsid w:val="00236DDC"/>
    <w:rsid w:val="002B3969"/>
    <w:rsid w:val="0032615D"/>
    <w:rsid w:val="003B20D1"/>
    <w:rsid w:val="003C57B3"/>
    <w:rsid w:val="003F7BD2"/>
    <w:rsid w:val="004006C8"/>
    <w:rsid w:val="00415A3D"/>
    <w:rsid w:val="004E651C"/>
    <w:rsid w:val="00515431"/>
    <w:rsid w:val="00521334"/>
    <w:rsid w:val="00570B17"/>
    <w:rsid w:val="0057378F"/>
    <w:rsid w:val="006F00E3"/>
    <w:rsid w:val="00734B21"/>
    <w:rsid w:val="007E3096"/>
    <w:rsid w:val="00892766"/>
    <w:rsid w:val="008B46BF"/>
    <w:rsid w:val="008D03F5"/>
    <w:rsid w:val="008E075C"/>
    <w:rsid w:val="008E21FD"/>
    <w:rsid w:val="008E6180"/>
    <w:rsid w:val="009130DE"/>
    <w:rsid w:val="00AD6BF1"/>
    <w:rsid w:val="00AE7D77"/>
    <w:rsid w:val="00B90CB2"/>
    <w:rsid w:val="00BA174F"/>
    <w:rsid w:val="00C70EB3"/>
    <w:rsid w:val="00D77F20"/>
    <w:rsid w:val="00DF4F00"/>
    <w:rsid w:val="00EB734F"/>
    <w:rsid w:val="00F61F90"/>
    <w:rsid w:val="00F83C0E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B734F"/>
    <w:pPr>
      <w:keepNext/>
      <w:jc w:val="center"/>
      <w:outlineLvl w:val="3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734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734F"/>
    <w:rPr>
      <w:rFonts w:ascii="Times New Roman" w:eastAsia="Times New Roman" w:hAnsi="Times New Roman" w:cs="Times New Roman"/>
      <w:snapToGrid w:val="0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B734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B7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B734F"/>
    <w:pPr>
      <w:tabs>
        <w:tab w:val="center" w:pos="4536"/>
        <w:tab w:val="right" w:pos="9072"/>
      </w:tabs>
      <w:jc w:val="both"/>
    </w:pPr>
    <w:rPr>
      <w:rFonts w:ascii="Garamond" w:hAnsi="Garamond"/>
      <w:szCs w:val="20"/>
    </w:rPr>
  </w:style>
  <w:style w:type="character" w:customStyle="1" w:styleId="ZpatChar">
    <w:name w:val="Zápatí Char"/>
    <w:basedOn w:val="Standardnpsmoodstavce"/>
    <w:link w:val="Zpat"/>
    <w:rsid w:val="00EB734F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B734F"/>
    <w:pPr>
      <w:spacing w:before="120" w:line="240" w:lineRule="atLeast"/>
      <w:jc w:val="center"/>
    </w:pPr>
    <w:rPr>
      <w:sz w:val="28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EB734F"/>
    <w:rPr>
      <w:rFonts w:ascii="Times New Roman" w:eastAsia="Times New Roman" w:hAnsi="Times New Roman" w:cs="Times New Roman"/>
      <w:sz w:val="28"/>
      <w:lang w:eastAsia="cs-CZ"/>
    </w:rPr>
  </w:style>
  <w:style w:type="paragraph" w:customStyle="1" w:styleId="nadpis40">
    <w:name w:val="nadpis4"/>
    <w:basedOn w:val="Nadpis3"/>
    <w:rsid w:val="00EB734F"/>
    <w:pPr>
      <w:spacing w:before="120" w:after="0"/>
      <w:jc w:val="both"/>
    </w:pPr>
    <w:rPr>
      <w:rFonts w:ascii="Times New Roman" w:hAnsi="Times New Roman" w:cs="Times New Roman"/>
      <w:bCs w:val="0"/>
      <w:snapToGrid w:val="0"/>
      <w:sz w:val="24"/>
      <w:szCs w:val="20"/>
    </w:rPr>
  </w:style>
  <w:style w:type="paragraph" w:styleId="Zkladntext2">
    <w:name w:val="Body Text 2"/>
    <w:basedOn w:val="Normln"/>
    <w:link w:val="Zkladntext2Char"/>
    <w:rsid w:val="00EB73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B73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B734F"/>
    <w:rPr>
      <w:color w:val="0000FF"/>
      <w:u w:val="single"/>
    </w:rPr>
  </w:style>
  <w:style w:type="paragraph" w:customStyle="1" w:styleId="Heading4">
    <w:name w:val="Heading 4"/>
    <w:rsid w:val="001D5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Pomlka">
    <w:name w:val="Pomlčka"/>
    <w:rsid w:val="001D56C7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B734F"/>
    <w:pPr>
      <w:keepNext/>
      <w:jc w:val="center"/>
      <w:outlineLvl w:val="3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734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734F"/>
    <w:rPr>
      <w:rFonts w:ascii="Times New Roman" w:eastAsia="Times New Roman" w:hAnsi="Times New Roman" w:cs="Times New Roman"/>
      <w:snapToGrid w:val="0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B734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B7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B734F"/>
    <w:pPr>
      <w:tabs>
        <w:tab w:val="center" w:pos="4536"/>
        <w:tab w:val="right" w:pos="9072"/>
      </w:tabs>
      <w:jc w:val="both"/>
    </w:pPr>
    <w:rPr>
      <w:rFonts w:ascii="Garamond" w:hAnsi="Garamond"/>
      <w:szCs w:val="20"/>
    </w:rPr>
  </w:style>
  <w:style w:type="character" w:customStyle="1" w:styleId="ZpatChar">
    <w:name w:val="Zápatí Char"/>
    <w:basedOn w:val="Standardnpsmoodstavce"/>
    <w:link w:val="Zpat"/>
    <w:rsid w:val="00EB734F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B734F"/>
    <w:pPr>
      <w:spacing w:before="120" w:line="240" w:lineRule="atLeast"/>
      <w:jc w:val="center"/>
    </w:pPr>
    <w:rPr>
      <w:sz w:val="28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EB734F"/>
    <w:rPr>
      <w:rFonts w:ascii="Times New Roman" w:eastAsia="Times New Roman" w:hAnsi="Times New Roman" w:cs="Times New Roman"/>
      <w:sz w:val="28"/>
      <w:lang w:eastAsia="cs-CZ"/>
    </w:rPr>
  </w:style>
  <w:style w:type="paragraph" w:customStyle="1" w:styleId="nadpis40">
    <w:name w:val="nadpis4"/>
    <w:basedOn w:val="Nadpis3"/>
    <w:rsid w:val="00EB734F"/>
    <w:pPr>
      <w:spacing w:before="120" w:after="0"/>
      <w:jc w:val="both"/>
    </w:pPr>
    <w:rPr>
      <w:rFonts w:ascii="Times New Roman" w:hAnsi="Times New Roman" w:cs="Times New Roman"/>
      <w:bCs w:val="0"/>
      <w:snapToGrid w:val="0"/>
      <w:sz w:val="24"/>
      <w:szCs w:val="20"/>
    </w:rPr>
  </w:style>
  <w:style w:type="paragraph" w:styleId="Zkladntext2">
    <w:name w:val="Body Text 2"/>
    <w:basedOn w:val="Normln"/>
    <w:link w:val="Zkladntext2Char"/>
    <w:rsid w:val="00EB73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B73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B7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5489</Words>
  <Characters>32391</Characters>
  <Application>Microsoft Office Word</Application>
  <DocSecurity>0</DocSecurity>
  <Lines>269</Lines>
  <Paragraphs>75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    I. ZÁKLADNÍ USTANOVENÍ</vt:lpstr>
      <vt:lpstr>        </vt:lpstr>
      <vt:lpstr>        II. ZÁKLADNÍ KAPITÁL SPOLEČNOSTI A AKCIE</vt:lpstr>
      <vt:lpstr>        </vt:lpstr>
      <vt:lpstr>        III. ZVÝŠENÍ A SNÍŽENÍ ZÁKLADNÍHO KAPITÁLU</vt:lpstr>
      <vt:lpstr>        IV. AKCIONÁŘI</vt:lpstr>
      <vt:lpstr>        V. ORGANIZACE SPOLEČNOSTI</vt:lpstr>
      <vt:lpstr>        A. Valná hromada</vt:lpstr>
      <vt:lpstr>        B. Představenstvo</vt:lpstr>
      <vt:lpstr>        C. Dozorčí rada</vt:lpstr>
      <vt:lpstr>        Působnost dozorčí rady</vt:lpstr>
      <vt:lpstr>        VI. Hospodaření společnosti</vt:lpstr>
    </vt:vector>
  </TitlesOfParts>
  <Company/>
  <LinksUpToDate>false</LinksUpToDate>
  <CharactersWithSpaces>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dana.piknova</dc:creator>
  <cp:keywords/>
  <dc:description/>
  <cp:lastModifiedBy>JUDr. Čepková</cp:lastModifiedBy>
  <cp:revision>2</cp:revision>
  <dcterms:created xsi:type="dcterms:W3CDTF">2014-08-26T14:33:00Z</dcterms:created>
  <dcterms:modified xsi:type="dcterms:W3CDTF">2014-08-26T14:33:00Z</dcterms:modified>
</cp:coreProperties>
</file>